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1E" w:rsidRDefault="001D333C">
      <w:pPr>
        <w:spacing w:after="14" w:line="259" w:lineRule="auto"/>
        <w:ind w:left="351" w:firstLine="0"/>
        <w:jc w:val="left"/>
      </w:pPr>
      <w:r>
        <w:t xml:space="preserve"> </w:t>
      </w:r>
    </w:p>
    <w:p w:rsidR="0044261E" w:rsidRDefault="001D333C">
      <w:pPr>
        <w:spacing w:after="14" w:line="259" w:lineRule="auto"/>
        <w:ind w:left="400" w:firstLine="0"/>
        <w:jc w:val="center"/>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0" w:line="259" w:lineRule="auto"/>
        <w:ind w:left="351" w:firstLine="0"/>
        <w:jc w:val="left"/>
      </w:pPr>
      <w:r>
        <w:t xml:space="preserve"> </w:t>
      </w:r>
      <w:r w:rsidR="00202A46" w:rsidRPr="00202A46">
        <w:rPr>
          <w:noProof/>
        </w:rPr>
        <w:drawing>
          <wp:inline distT="0" distB="0" distL="0" distR="0" wp14:anchorId="14149D1F" wp14:editId="75DC6D33">
            <wp:extent cx="5671394" cy="2137129"/>
            <wp:effectExtent l="0" t="0" r="5715" b="0"/>
            <wp:docPr id="2" name="Image 2" descr="Z:\--- DOCUMENTATION ---\--- DOCUMENTS GENERAUX ---\Direction de la Communication\Communication\Logos UNADEV\UNADEV-Logo-BLEU-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DOCUMENTATION ---\--- DOCUMENTS GENERAUX ---\Direction de la Communication\Communication\Logos UNADEV\UNADEV-Logo-BLEU-RV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2510" cy="2141318"/>
                    </a:xfrm>
                    <a:prstGeom prst="rect">
                      <a:avLst/>
                    </a:prstGeom>
                    <a:noFill/>
                    <a:ln>
                      <a:noFill/>
                    </a:ln>
                  </pic:spPr>
                </pic:pic>
              </a:graphicData>
            </a:graphic>
          </wp:inline>
        </w:drawing>
      </w:r>
    </w:p>
    <w:p w:rsidR="0044261E" w:rsidRDefault="0044261E">
      <w:pPr>
        <w:spacing w:after="29" w:line="259" w:lineRule="auto"/>
        <w:ind w:left="3503" w:firstLine="0"/>
        <w:jc w:val="left"/>
      </w:pP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44" w:line="259" w:lineRule="auto"/>
        <w:ind w:left="351" w:firstLine="0"/>
        <w:jc w:val="left"/>
      </w:pPr>
      <w:r>
        <w:t xml:space="preserve"> </w:t>
      </w:r>
    </w:p>
    <w:p w:rsidR="0044261E" w:rsidRPr="00D908DA" w:rsidRDefault="001D333C">
      <w:pPr>
        <w:spacing w:after="21" w:line="259" w:lineRule="auto"/>
        <w:ind w:left="3579" w:firstLine="0"/>
        <w:jc w:val="left"/>
        <w:rPr>
          <w:b/>
          <w:sz w:val="40"/>
          <w:szCs w:val="40"/>
        </w:rPr>
      </w:pPr>
      <w:r w:rsidRPr="00D908DA">
        <w:rPr>
          <w:b/>
          <w:sz w:val="40"/>
          <w:szCs w:val="40"/>
        </w:rPr>
        <w:t xml:space="preserve">Cahier des Charges </w:t>
      </w:r>
    </w:p>
    <w:p w:rsidR="0044261E" w:rsidRPr="00D908DA" w:rsidRDefault="00D908DA" w:rsidP="00D908DA">
      <w:pPr>
        <w:spacing w:after="0" w:line="259" w:lineRule="auto"/>
        <w:rPr>
          <w:b/>
          <w:sz w:val="40"/>
          <w:szCs w:val="40"/>
        </w:rPr>
      </w:pPr>
      <w:r>
        <w:rPr>
          <w:b/>
          <w:i/>
          <w:sz w:val="40"/>
          <w:szCs w:val="40"/>
        </w:rPr>
        <w:t xml:space="preserve">                               </w:t>
      </w:r>
      <w:r w:rsidR="001D333C" w:rsidRPr="00D908DA">
        <w:rPr>
          <w:b/>
          <w:i/>
          <w:sz w:val="40"/>
          <w:szCs w:val="40"/>
        </w:rPr>
        <w:t>Labellisation « U</w:t>
      </w:r>
      <w:r w:rsidR="004D604C" w:rsidRPr="00D908DA">
        <w:rPr>
          <w:b/>
          <w:i/>
          <w:sz w:val="40"/>
          <w:szCs w:val="40"/>
        </w:rPr>
        <w:t>nadev</w:t>
      </w:r>
      <w:r w:rsidR="001D333C" w:rsidRPr="00D908DA">
        <w:rPr>
          <w:b/>
          <w:i/>
          <w:sz w:val="40"/>
          <w:szCs w:val="40"/>
        </w:rPr>
        <w:t xml:space="preserve"> » </w:t>
      </w:r>
    </w:p>
    <w:p w:rsidR="0044261E" w:rsidRDefault="001D333C">
      <w:pPr>
        <w:spacing w:after="0" w:line="259" w:lineRule="auto"/>
        <w:ind w:left="351" w:firstLine="0"/>
        <w:jc w:val="left"/>
      </w:pPr>
      <w:r>
        <w:t xml:space="preserve"> </w:t>
      </w:r>
    </w:p>
    <w:p w:rsidR="0044261E" w:rsidRDefault="0044261E">
      <w:pPr>
        <w:spacing w:after="14" w:line="259" w:lineRule="auto"/>
        <w:ind w:left="351" w:firstLine="0"/>
        <w:jc w:val="left"/>
      </w:pPr>
    </w:p>
    <w:p w:rsidR="00202A46" w:rsidRDefault="00202A46">
      <w:pPr>
        <w:spacing w:after="14" w:line="259" w:lineRule="auto"/>
        <w:ind w:left="351" w:firstLine="0"/>
        <w:jc w:val="left"/>
      </w:pPr>
    </w:p>
    <w:p w:rsidR="0044261E" w:rsidRDefault="001D333C">
      <w:pPr>
        <w:spacing w:after="14" w:line="259" w:lineRule="auto"/>
        <w:ind w:left="351" w:firstLine="0"/>
        <w:jc w:val="left"/>
      </w:pPr>
      <w:r>
        <w:t xml:space="preserve"> </w:t>
      </w:r>
    </w:p>
    <w:p w:rsidR="0044261E" w:rsidRDefault="001D333C">
      <w:pPr>
        <w:spacing w:after="144" w:line="259" w:lineRule="auto"/>
        <w:ind w:left="351" w:firstLine="0"/>
        <w:jc w:val="left"/>
      </w:pPr>
      <w:r>
        <w:t xml:space="preserve"> </w:t>
      </w:r>
    </w:p>
    <w:p w:rsidR="0044261E" w:rsidRDefault="001D333C">
      <w:pPr>
        <w:spacing w:after="112" w:line="259" w:lineRule="auto"/>
        <w:ind w:left="0" w:right="1736" w:firstLine="0"/>
        <w:jc w:val="right"/>
      </w:pPr>
      <w:r>
        <w:rPr>
          <w:b/>
          <w:sz w:val="32"/>
          <w:u w:val="single" w:color="000000"/>
        </w:rPr>
        <w:t>Clôture de l’appel à candidature</w:t>
      </w:r>
      <w:r w:rsidR="004D604C">
        <w:rPr>
          <w:b/>
          <w:sz w:val="32"/>
          <w:u w:val="single" w:color="000000"/>
        </w:rPr>
        <w:t>s</w:t>
      </w:r>
      <w:r w:rsidR="00D908DA">
        <w:rPr>
          <w:b/>
          <w:sz w:val="32"/>
          <w:u w:val="single" w:color="000000"/>
        </w:rPr>
        <w:t xml:space="preserve"> </w:t>
      </w:r>
      <w:r w:rsidR="00D908DA">
        <w:rPr>
          <w:b/>
          <w:sz w:val="32"/>
        </w:rPr>
        <w:t>:</w:t>
      </w:r>
      <w:r w:rsidR="004D604C">
        <w:rPr>
          <w:b/>
          <w:sz w:val="32"/>
        </w:rPr>
        <w:t>25 Septembre</w:t>
      </w:r>
      <w:r w:rsidR="00A87A2A">
        <w:rPr>
          <w:b/>
          <w:sz w:val="32"/>
        </w:rPr>
        <w:t xml:space="preserve"> 2023</w:t>
      </w:r>
      <w:r>
        <w:rPr>
          <w:b/>
          <w:sz w:val="32"/>
        </w:rP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44261E" w:rsidRDefault="001D333C">
      <w:pPr>
        <w:spacing w:after="14" w:line="259" w:lineRule="auto"/>
        <w:ind w:left="351" w:firstLine="0"/>
        <w:jc w:val="left"/>
      </w:pPr>
      <w:r>
        <w:t xml:space="preserve"> </w:t>
      </w:r>
    </w:p>
    <w:p w:rsidR="00A87A2A" w:rsidRDefault="00A87A2A">
      <w:pPr>
        <w:spacing w:after="14" w:line="259" w:lineRule="auto"/>
        <w:ind w:left="351" w:firstLine="0"/>
        <w:jc w:val="left"/>
      </w:pPr>
    </w:p>
    <w:p w:rsidR="00A87A2A" w:rsidRDefault="00A87A2A">
      <w:pPr>
        <w:spacing w:after="14" w:line="259" w:lineRule="auto"/>
        <w:ind w:left="351" w:firstLine="0"/>
        <w:jc w:val="left"/>
      </w:pPr>
    </w:p>
    <w:p w:rsidR="00A87A2A" w:rsidRDefault="00A87A2A">
      <w:pPr>
        <w:spacing w:after="14" w:line="259" w:lineRule="auto"/>
        <w:ind w:left="351" w:firstLine="0"/>
        <w:jc w:val="left"/>
      </w:pPr>
    </w:p>
    <w:p w:rsidR="00A87A2A" w:rsidRDefault="00A87A2A">
      <w:pPr>
        <w:spacing w:after="14" w:line="259" w:lineRule="auto"/>
        <w:ind w:left="351" w:firstLine="0"/>
        <w:jc w:val="left"/>
      </w:pPr>
    </w:p>
    <w:p w:rsidR="0044261E" w:rsidRDefault="001D333C">
      <w:pPr>
        <w:pStyle w:val="Titre1"/>
        <w:tabs>
          <w:tab w:val="center" w:pos="3013"/>
        </w:tabs>
        <w:ind w:left="0" w:firstLine="0"/>
      </w:pPr>
      <w:r>
        <w:t>1.</w:t>
      </w:r>
      <w:r>
        <w:tab/>
        <w:t xml:space="preserve">PRÉSENTATION DE L’ASSOCIATION </w:t>
      </w:r>
    </w:p>
    <w:p w:rsidR="0044261E" w:rsidRDefault="001D333C">
      <w:pPr>
        <w:spacing w:after="47"/>
        <w:ind w:left="346"/>
      </w:pPr>
      <w:r>
        <w:t xml:space="preserve">L’Union Nationale des Aveugles et Déficients Visuels (UNADEV), créée en 1929 à Bordeaux, est une association reconnue d'assistance et de bienfaisance qui agit depuis 90 ans auprès des personnes aveugles et malvoyantes pour les accompagner vers une plus grande autonomie et favoriser leur inclusion en milieu ordinaire. L’association s’est développée sur le territoire national grâce à ses huit centres régionaux et de nombreuses associations locales partenaires. Elle propose un grand nombre de services et d'aides, sur place ou à distance, répondant ainsi aux besoins des personnes déficientes visuelles.  </w:t>
      </w:r>
    </w:p>
    <w:p w:rsidR="0044261E" w:rsidRDefault="004D604C">
      <w:pPr>
        <w:tabs>
          <w:tab w:val="center" w:pos="5005"/>
          <w:tab w:val="center" w:pos="9690"/>
        </w:tabs>
        <w:spacing w:after="395"/>
        <w:ind w:left="0" w:firstLine="0"/>
        <w:jc w:val="left"/>
        <w:rPr>
          <w:b/>
        </w:rPr>
      </w:pPr>
      <w:r>
        <w:rPr>
          <w:sz w:val="22"/>
        </w:rPr>
        <w:t xml:space="preserve">       Les </w:t>
      </w:r>
      <w:r w:rsidR="001D333C">
        <w:t>actions de l’U</w:t>
      </w:r>
      <w:r w:rsidR="00D303F8">
        <w:t>nadev</w:t>
      </w:r>
      <w:r w:rsidR="001D333C">
        <w:t xml:space="preserve"> portent sur trois missions principales : </w:t>
      </w:r>
    </w:p>
    <w:p w:rsidR="004D604C" w:rsidRDefault="004D604C" w:rsidP="004D604C">
      <w:pPr>
        <w:pStyle w:val="Paragraphedeliste"/>
        <w:numPr>
          <w:ilvl w:val="0"/>
          <w:numId w:val="10"/>
        </w:numPr>
        <w:tabs>
          <w:tab w:val="center" w:pos="5005"/>
          <w:tab w:val="center" w:pos="9690"/>
        </w:tabs>
        <w:spacing w:after="395"/>
        <w:jc w:val="left"/>
      </w:pPr>
      <w:r>
        <w:t>Améliorer et développer les actions de l’association afin de répondre aux besoins des personnes aveugles et malvoyantes.</w:t>
      </w:r>
    </w:p>
    <w:p w:rsidR="004D604C" w:rsidRDefault="004D604C" w:rsidP="004D604C">
      <w:pPr>
        <w:pStyle w:val="Paragraphedeliste"/>
        <w:numPr>
          <w:ilvl w:val="0"/>
          <w:numId w:val="10"/>
        </w:numPr>
        <w:tabs>
          <w:tab w:val="center" w:pos="5005"/>
          <w:tab w:val="center" w:pos="9690"/>
        </w:tabs>
        <w:spacing w:after="395"/>
        <w:jc w:val="left"/>
      </w:pPr>
      <w:r>
        <w:t>Positionner l’association comme un acteur majeur et référent de la déficience visuelle.</w:t>
      </w:r>
    </w:p>
    <w:p w:rsidR="004D604C" w:rsidRDefault="004D604C" w:rsidP="004D604C">
      <w:pPr>
        <w:pStyle w:val="Paragraphedeliste"/>
        <w:numPr>
          <w:ilvl w:val="0"/>
          <w:numId w:val="10"/>
        </w:numPr>
        <w:tabs>
          <w:tab w:val="center" w:pos="5005"/>
          <w:tab w:val="center" w:pos="9690"/>
        </w:tabs>
        <w:spacing w:after="395"/>
        <w:jc w:val="left"/>
      </w:pPr>
      <w:r>
        <w:t>Poursuivre la transformation interne, afin d’améliorer l’activité, l’exemplarité et la vie associative de l’Unadev.</w:t>
      </w:r>
    </w:p>
    <w:p w:rsidR="0044261E" w:rsidRDefault="001D333C">
      <w:pPr>
        <w:numPr>
          <w:ilvl w:val="0"/>
          <w:numId w:val="2"/>
        </w:numPr>
        <w:spacing w:after="28"/>
        <w:ind w:left="1071" w:hanging="360"/>
      </w:pPr>
      <w:r>
        <w:t xml:space="preserve">Les aides directes et les services aux personnes </w:t>
      </w:r>
      <w:r w:rsidR="004D604C">
        <w:t>aveugles et malvoyante</w:t>
      </w:r>
      <w:r>
        <w:t>s : l'U</w:t>
      </w:r>
      <w:r w:rsidR="004D604C">
        <w:t>nadev</w:t>
      </w:r>
      <w:r>
        <w:t xml:space="preserve"> agit au quotidien auprès de ses bénéficiaires et propose de nombreux services pour favoriser leur autonomie (accompagnement social, aide à domicile, chiens guides...), leur épanouissement personnel (formation à distance, activités sportives, accès à la culture et aux loisirs…), leur insertion professionnelle et l'accès à une pleine citoyenneté. Les centres régionaux sont des lieux d’écoute, d’échanges et de rencontres qui contribuent à créer du lien social. Ils s'inscrivent dans u</w:t>
      </w:r>
      <w:r w:rsidR="0014621A">
        <w:t>ne dynamique d'accompagnement.</w:t>
      </w:r>
      <w:bookmarkStart w:id="0" w:name="_GoBack"/>
      <w:bookmarkEnd w:id="0"/>
    </w:p>
    <w:p w:rsidR="0016685F" w:rsidRDefault="001D333C" w:rsidP="0016685F">
      <w:pPr>
        <w:numPr>
          <w:ilvl w:val="0"/>
          <w:numId w:val="2"/>
        </w:numPr>
        <w:ind w:left="1071" w:hanging="360"/>
      </w:pPr>
      <w:r>
        <w:t xml:space="preserve">Les actions d’information et de sensibilisation : </w:t>
      </w:r>
      <w:r w:rsidR="004D604C">
        <w:t>l'Unadev</w:t>
      </w:r>
      <w:r>
        <w:t xml:space="preserve"> cherche à favoriser une réelle évolution de notre société pour permettre l’égalité des droits et des chances et l’accès à l’emploi. Ses actions visent à sensibiliser le plus grand nombre : pouvoirs publics, citoyens jeunes ou moins jeunes, employeurs, etc. L'association sensibilise tous ses publics sur le handicap visuel à travers ses supports d’information et des événements. </w:t>
      </w:r>
      <w:r w:rsidR="004D604C">
        <w:t>L</w:t>
      </w:r>
      <w:r w:rsidR="004D604C">
        <w:t>'Unadev</w:t>
      </w:r>
      <w:r>
        <w:t xml:space="preserve"> édite également un magazine dédié à la déficience visuelle, LUMEN</w:t>
      </w:r>
      <w:r w:rsidR="004D604C">
        <w:t>.</w:t>
      </w:r>
      <w:r>
        <w:t xml:space="preserve"> </w:t>
      </w:r>
    </w:p>
    <w:p w:rsidR="00776742" w:rsidRDefault="001D333C" w:rsidP="0016685F">
      <w:pPr>
        <w:numPr>
          <w:ilvl w:val="0"/>
          <w:numId w:val="2"/>
        </w:numPr>
        <w:ind w:left="1071" w:hanging="360"/>
      </w:pPr>
      <w:r>
        <w:t>Le soutien à la recherche médicale et la prévention des maladies cécitantes : l'U</w:t>
      </w:r>
      <w:r w:rsidR="004D604C">
        <w:t>nadev</w:t>
      </w:r>
      <w:r>
        <w:t xml:space="preserve"> s'engage dans la lutte contre les maladies cécitantes à travers des actions de prévention et le financement de la recherche médicale dans le domaine de la vision. </w:t>
      </w:r>
    </w:p>
    <w:p w:rsidR="00D908DA" w:rsidRDefault="00D908DA" w:rsidP="00776742">
      <w:pPr>
        <w:spacing w:after="256" w:line="259" w:lineRule="auto"/>
        <w:ind w:left="351" w:firstLine="0"/>
        <w:jc w:val="left"/>
        <w:rPr>
          <w:b/>
          <w:i/>
        </w:rPr>
      </w:pPr>
    </w:p>
    <w:p w:rsidR="0044261E" w:rsidRDefault="001D333C" w:rsidP="00776742">
      <w:pPr>
        <w:spacing w:after="256" w:line="259" w:lineRule="auto"/>
        <w:ind w:left="351" w:firstLine="0"/>
        <w:jc w:val="left"/>
      </w:pPr>
      <w:r w:rsidRPr="00776742">
        <w:rPr>
          <w:b/>
          <w:i/>
        </w:rPr>
        <w:t xml:space="preserve">Chiffres clés </w:t>
      </w:r>
      <w:r w:rsidR="001B1BF9">
        <w:rPr>
          <w:b/>
          <w:i/>
        </w:rPr>
        <w:t>2022</w:t>
      </w:r>
      <w:r>
        <w:t xml:space="preserve"> </w:t>
      </w:r>
    </w:p>
    <w:p w:rsidR="0044261E" w:rsidRDefault="001D333C">
      <w:pPr>
        <w:numPr>
          <w:ilvl w:val="0"/>
          <w:numId w:val="2"/>
        </w:numPr>
        <w:ind w:left="1071" w:hanging="360"/>
      </w:pPr>
      <w:r>
        <w:t>8 centres d’activités</w:t>
      </w:r>
      <w:r w:rsidR="00776742">
        <w:t xml:space="preserve"> : </w:t>
      </w:r>
      <w:r>
        <w:t xml:space="preserve">Bordeaux, Boulogne, Lille, Lyon, Marseille, Pau, Perpignan et Toulouse </w:t>
      </w:r>
    </w:p>
    <w:p w:rsidR="0044261E" w:rsidRDefault="001D333C">
      <w:pPr>
        <w:numPr>
          <w:ilvl w:val="0"/>
          <w:numId w:val="2"/>
        </w:numPr>
        <w:spacing w:after="50"/>
        <w:ind w:left="1071" w:hanging="360"/>
      </w:pPr>
      <w:r>
        <w:t xml:space="preserve">Soutien aux autres associations agissant pour la cause de la déficience visuelle </w:t>
      </w:r>
    </w:p>
    <w:p w:rsidR="0044261E" w:rsidRDefault="001D333C">
      <w:pPr>
        <w:numPr>
          <w:ilvl w:val="0"/>
          <w:numId w:val="2"/>
        </w:numPr>
        <w:spacing w:after="155"/>
        <w:ind w:left="1071" w:hanging="360"/>
      </w:pPr>
      <w:r>
        <w:t xml:space="preserve">Près de </w:t>
      </w:r>
      <w:r w:rsidR="00D16723">
        <w:t>5000  personnes dépistées en 2022</w:t>
      </w:r>
      <w:r>
        <w:t xml:space="preserve"> via le </w:t>
      </w:r>
      <w:hyperlink r:id="rId8">
        <w:r>
          <w:t>Bus du Glaucom</w:t>
        </w:r>
      </w:hyperlink>
      <w:r>
        <w:t>​</w:t>
      </w:r>
      <w:hyperlink r:id="rId9">
        <w:r>
          <w:t>e</w:t>
        </w:r>
      </w:hyperlink>
      <w:hyperlink r:id="rId10">
        <w:r>
          <w:t xml:space="preserve"> </w:t>
        </w:r>
      </w:hyperlink>
      <w:r>
        <w:t xml:space="preserve"> </w:t>
      </w:r>
    </w:p>
    <w:p w:rsidR="0044261E" w:rsidRDefault="00D16723">
      <w:pPr>
        <w:numPr>
          <w:ilvl w:val="0"/>
          <w:numId w:val="2"/>
        </w:numPr>
        <w:spacing w:after="47"/>
        <w:ind w:left="1071" w:hanging="360"/>
      </w:pPr>
      <w:r>
        <w:lastRenderedPageBreak/>
        <w:t>Plus de 1200</w:t>
      </w:r>
      <w:r w:rsidR="001D333C">
        <w:t xml:space="preserve"> bénéficiaires </w:t>
      </w:r>
      <w:r w:rsidR="00776742">
        <w:t>ayant recours au Dispositif National d’Aides à Domicile</w:t>
      </w:r>
      <w:r w:rsidR="001D333C">
        <w:t xml:space="preserve"> </w:t>
      </w:r>
      <w:r w:rsidR="00776742">
        <w:t>(</w:t>
      </w:r>
      <w:r w:rsidR="001D333C">
        <w:t>DNAAD</w:t>
      </w:r>
      <w:r w:rsidR="00776742">
        <w:t>)</w:t>
      </w:r>
      <w:r w:rsidR="001D333C">
        <w:t xml:space="preserve"> pour le financement des prestations d’aide à domicile  </w:t>
      </w:r>
    </w:p>
    <w:p w:rsidR="0044261E" w:rsidRDefault="00420F00">
      <w:pPr>
        <w:numPr>
          <w:ilvl w:val="0"/>
          <w:numId w:val="2"/>
        </w:numPr>
        <w:ind w:left="1071" w:hanging="360"/>
      </w:pPr>
      <w:hyperlink r:id="rId11">
        <w:r w:rsidR="001D333C">
          <w:t xml:space="preserve">5 écoles de chiens guides </w:t>
        </w:r>
      </w:hyperlink>
      <w:r w:rsidR="001D333C">
        <w:t xml:space="preserve">​ en France financées par notre association </w:t>
      </w:r>
    </w:p>
    <w:p w:rsidR="0044261E" w:rsidRDefault="001D333C">
      <w:pPr>
        <w:numPr>
          <w:ilvl w:val="0"/>
          <w:numId w:val="2"/>
        </w:numPr>
        <w:spacing w:after="170"/>
        <w:ind w:left="1071" w:hanging="360"/>
      </w:pPr>
      <w:r>
        <w:t xml:space="preserve">1 EHPAD accueillant 83 lits  </w:t>
      </w:r>
    </w:p>
    <w:p w:rsidR="0044261E" w:rsidRDefault="001D333C">
      <w:pPr>
        <w:tabs>
          <w:tab w:val="center" w:pos="3036"/>
          <w:tab w:val="center" w:pos="5818"/>
        </w:tabs>
        <w:spacing w:after="475"/>
        <w:ind w:left="0" w:firstLine="0"/>
        <w:jc w:val="left"/>
      </w:pPr>
      <w:r>
        <w:rPr>
          <w:sz w:val="22"/>
        </w:rPr>
        <w:tab/>
      </w:r>
      <w:r>
        <w:t xml:space="preserve">Plus d’informations sur le site internet </w:t>
      </w:r>
      <w:hyperlink r:id="rId12">
        <w:r>
          <w:rPr>
            <w:color w:val="0000FF"/>
            <w:u w:val="single" w:color="0000FF"/>
          </w:rPr>
          <w:t>www.unadev.co</w:t>
        </w:r>
      </w:hyperlink>
      <w:r>
        <w:rPr>
          <w:u w:val="single" w:color="0000FF"/>
        </w:rPr>
        <w:t>​</w:t>
      </w:r>
      <w:r>
        <w:rPr>
          <w:u w:val="single" w:color="0000FF"/>
        </w:rPr>
        <w:tab/>
      </w:r>
      <w:hyperlink r:id="rId13">
        <w:r>
          <w:rPr>
            <w:color w:val="0000FF"/>
            <w:u w:val="single" w:color="0000FF"/>
          </w:rPr>
          <w:t>m</w:t>
        </w:r>
      </w:hyperlink>
      <w:hyperlink r:id="rId14">
        <w:r>
          <w:rPr>
            <w:color w:val="0000FF"/>
          </w:rPr>
          <w:t xml:space="preserve"> </w:t>
        </w:r>
      </w:hyperlink>
    </w:p>
    <w:p w:rsidR="0044261E" w:rsidRDefault="001D333C">
      <w:pPr>
        <w:pStyle w:val="Titre1"/>
        <w:tabs>
          <w:tab w:val="center" w:pos="4682"/>
        </w:tabs>
        <w:ind w:left="0" w:firstLine="0"/>
      </w:pPr>
      <w:r>
        <w:t>2.</w:t>
      </w:r>
      <w:r>
        <w:tab/>
        <w:t xml:space="preserve">PLANNING ET DÉROULEMENT DE L’APPEL À CANDIDATURES </w:t>
      </w:r>
    </w:p>
    <w:p w:rsidR="0044261E" w:rsidRDefault="001D333C">
      <w:pPr>
        <w:ind w:left="346"/>
      </w:pPr>
      <w:r>
        <w:t xml:space="preserve">Les différentes étapes de l’appel à candidatures sont : </w:t>
      </w:r>
    </w:p>
    <w:p w:rsidR="00D303F8" w:rsidRDefault="00D303F8">
      <w:pPr>
        <w:ind w:left="346"/>
      </w:pPr>
    </w:p>
    <w:tbl>
      <w:tblPr>
        <w:tblStyle w:val="TableGrid"/>
        <w:tblW w:w="7224" w:type="dxa"/>
        <w:tblInd w:w="711" w:type="dxa"/>
        <w:tblLook w:val="04A0" w:firstRow="1" w:lastRow="0" w:firstColumn="1" w:lastColumn="0" w:noHBand="0" w:noVBand="1"/>
      </w:tblPr>
      <w:tblGrid>
        <w:gridCol w:w="360"/>
        <w:gridCol w:w="4601"/>
        <w:gridCol w:w="2263"/>
      </w:tblGrid>
      <w:tr w:rsidR="0044261E" w:rsidTr="001B1BF9">
        <w:trPr>
          <w:trHeight w:val="287"/>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44261E" w:rsidRDefault="001D333C">
            <w:pPr>
              <w:spacing w:after="0" w:line="259" w:lineRule="auto"/>
              <w:ind w:left="0" w:firstLine="0"/>
              <w:jc w:val="left"/>
            </w:pPr>
            <w:r>
              <w:t>E</w:t>
            </w:r>
            <w:r w:rsidR="001B1BF9">
              <w:t>nvoi de l’appel à candidatures :</w:t>
            </w:r>
          </w:p>
        </w:tc>
        <w:tc>
          <w:tcPr>
            <w:tcW w:w="2263" w:type="dxa"/>
            <w:tcBorders>
              <w:top w:val="nil"/>
              <w:left w:val="nil"/>
              <w:bottom w:val="nil"/>
              <w:right w:val="nil"/>
            </w:tcBorders>
          </w:tcPr>
          <w:p w:rsidR="0044261E" w:rsidRDefault="00D303F8" w:rsidP="001B1BF9">
            <w:pPr>
              <w:spacing w:after="0" w:line="259" w:lineRule="auto"/>
              <w:ind w:left="0" w:firstLine="0"/>
              <w:jc w:val="left"/>
            </w:pPr>
            <w:r>
              <w:t xml:space="preserve">Du </w:t>
            </w:r>
            <w:r w:rsidR="001B1BF9">
              <w:t xml:space="preserve">26/07 au </w:t>
            </w:r>
            <w:r w:rsidR="00D908DA">
              <w:t>04</w:t>
            </w:r>
            <w:r>
              <w:t>/08/2</w:t>
            </w:r>
            <w:r w:rsidR="001B1BF9">
              <w:t>3</w:t>
            </w:r>
            <w:r w:rsidR="001D333C">
              <w:t xml:space="preserve"> </w:t>
            </w:r>
          </w:p>
        </w:tc>
      </w:tr>
      <w:tr w:rsidR="0044261E" w:rsidTr="001B1BF9">
        <w:trPr>
          <w:trHeight w:val="330"/>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44261E" w:rsidRDefault="001D333C">
            <w:pPr>
              <w:spacing w:after="0" w:line="259" w:lineRule="auto"/>
              <w:ind w:left="0" w:firstLine="0"/>
              <w:jc w:val="left"/>
            </w:pPr>
            <w:r>
              <w:t>Date de retour des candidatures au plus tard :</w:t>
            </w:r>
          </w:p>
        </w:tc>
        <w:tc>
          <w:tcPr>
            <w:tcW w:w="2263" w:type="dxa"/>
            <w:tcBorders>
              <w:top w:val="nil"/>
              <w:left w:val="nil"/>
              <w:bottom w:val="nil"/>
              <w:right w:val="nil"/>
            </w:tcBorders>
          </w:tcPr>
          <w:p w:rsidR="0044261E" w:rsidRDefault="00D303F8">
            <w:pPr>
              <w:spacing w:after="0" w:line="259" w:lineRule="auto"/>
              <w:ind w:left="0" w:firstLine="0"/>
              <w:jc w:val="left"/>
            </w:pPr>
            <w:r>
              <w:t xml:space="preserve">Le </w:t>
            </w:r>
            <w:r w:rsidR="001B1BF9">
              <w:t>25/09</w:t>
            </w:r>
            <w:r w:rsidR="00D16723">
              <w:t>/23</w:t>
            </w:r>
            <w:r w:rsidR="001D333C">
              <w:t xml:space="preserve"> </w:t>
            </w:r>
          </w:p>
        </w:tc>
      </w:tr>
      <w:tr w:rsidR="0044261E" w:rsidTr="001B1BF9">
        <w:trPr>
          <w:trHeight w:val="330"/>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44261E" w:rsidRDefault="001D333C" w:rsidP="0014621A">
            <w:pPr>
              <w:spacing w:after="0" w:line="259" w:lineRule="auto"/>
              <w:ind w:left="0" w:firstLine="0"/>
              <w:jc w:val="left"/>
            </w:pPr>
            <w:r>
              <w:t>Dépouillement par l’U</w:t>
            </w:r>
            <w:r w:rsidR="0014621A">
              <w:t>nadev</w:t>
            </w:r>
            <w:r>
              <w:t xml:space="preserve"> :</w:t>
            </w:r>
          </w:p>
        </w:tc>
        <w:tc>
          <w:tcPr>
            <w:tcW w:w="2263" w:type="dxa"/>
            <w:tcBorders>
              <w:top w:val="nil"/>
              <w:left w:val="nil"/>
              <w:bottom w:val="nil"/>
              <w:right w:val="nil"/>
            </w:tcBorders>
          </w:tcPr>
          <w:p w:rsidR="0044261E" w:rsidRDefault="00D16723" w:rsidP="001B1BF9">
            <w:pPr>
              <w:spacing w:after="0" w:line="259" w:lineRule="auto"/>
              <w:ind w:left="0" w:firstLine="0"/>
              <w:jc w:val="left"/>
            </w:pPr>
            <w:r>
              <w:t xml:space="preserve">Du </w:t>
            </w:r>
            <w:r w:rsidR="001B1BF9">
              <w:t>28</w:t>
            </w:r>
            <w:r>
              <w:t xml:space="preserve">/09 au </w:t>
            </w:r>
            <w:r w:rsidR="001B1BF9">
              <w:t>31</w:t>
            </w:r>
            <w:r>
              <w:t>/10/23</w:t>
            </w:r>
            <w:r w:rsidR="001D333C">
              <w:t xml:space="preserve"> </w:t>
            </w:r>
          </w:p>
        </w:tc>
      </w:tr>
      <w:tr w:rsidR="0044261E" w:rsidTr="001B1BF9">
        <w:trPr>
          <w:trHeight w:val="330"/>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44261E" w:rsidRDefault="001D333C">
            <w:pPr>
              <w:spacing w:after="0" w:line="259" w:lineRule="auto"/>
              <w:ind w:left="0" w:firstLine="0"/>
              <w:jc w:val="left"/>
            </w:pPr>
            <w:r>
              <w:t>Information vers les prestataires :</w:t>
            </w:r>
          </w:p>
        </w:tc>
        <w:tc>
          <w:tcPr>
            <w:tcW w:w="2263" w:type="dxa"/>
            <w:tcBorders>
              <w:top w:val="nil"/>
              <w:left w:val="nil"/>
              <w:bottom w:val="nil"/>
              <w:right w:val="nil"/>
            </w:tcBorders>
          </w:tcPr>
          <w:p w:rsidR="0044261E" w:rsidRDefault="00D303F8" w:rsidP="00D303F8">
            <w:pPr>
              <w:spacing w:after="0" w:line="259" w:lineRule="auto"/>
              <w:ind w:left="0" w:firstLine="0"/>
              <w:jc w:val="left"/>
            </w:pPr>
            <w:r>
              <w:t>Du 01/11</w:t>
            </w:r>
            <w:r w:rsidR="001D333C">
              <w:t xml:space="preserve"> </w:t>
            </w:r>
            <w:r>
              <w:t>au 30/11/23</w:t>
            </w:r>
            <w:r w:rsidR="001D333C">
              <w:t xml:space="preserve"> </w:t>
            </w:r>
          </w:p>
        </w:tc>
      </w:tr>
      <w:tr w:rsidR="0044261E" w:rsidTr="001B1BF9">
        <w:trPr>
          <w:trHeight w:val="330"/>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44261E" w:rsidRDefault="001D333C">
            <w:pPr>
              <w:spacing w:after="0" w:line="259" w:lineRule="auto"/>
              <w:ind w:left="0" w:firstLine="0"/>
              <w:jc w:val="left"/>
            </w:pPr>
            <w:r>
              <w:t>Echange documentation :</w:t>
            </w:r>
          </w:p>
        </w:tc>
        <w:tc>
          <w:tcPr>
            <w:tcW w:w="2263" w:type="dxa"/>
            <w:tcBorders>
              <w:top w:val="nil"/>
              <w:left w:val="nil"/>
              <w:bottom w:val="nil"/>
              <w:right w:val="nil"/>
            </w:tcBorders>
          </w:tcPr>
          <w:p w:rsidR="0044261E" w:rsidRDefault="00D303F8" w:rsidP="00D303F8">
            <w:pPr>
              <w:spacing w:after="0" w:line="259" w:lineRule="auto"/>
              <w:ind w:left="0" w:firstLine="0"/>
              <w:jc w:val="left"/>
            </w:pPr>
            <w:r w:rsidRPr="00D303F8">
              <w:t>Du 30/11 au 31/12/23</w:t>
            </w:r>
          </w:p>
        </w:tc>
      </w:tr>
      <w:tr w:rsidR="00D303F8" w:rsidTr="001B1BF9">
        <w:trPr>
          <w:trHeight w:val="287"/>
        </w:trPr>
        <w:tc>
          <w:tcPr>
            <w:tcW w:w="360" w:type="dxa"/>
            <w:tcBorders>
              <w:top w:val="nil"/>
              <w:left w:val="nil"/>
              <w:bottom w:val="nil"/>
              <w:right w:val="nil"/>
            </w:tcBorders>
          </w:tcPr>
          <w:p w:rsidR="00D303F8" w:rsidRDefault="00D303F8" w:rsidP="00D303F8">
            <w:pPr>
              <w:spacing w:after="0" w:line="259" w:lineRule="auto"/>
              <w:ind w:left="0" w:firstLine="0"/>
              <w:jc w:val="left"/>
            </w:pPr>
            <w:r>
              <w:rPr>
                <w:rFonts w:ascii="Arial" w:eastAsia="Arial" w:hAnsi="Arial" w:cs="Arial"/>
                <w:sz w:val="20"/>
              </w:rPr>
              <w:t>●</w:t>
            </w:r>
          </w:p>
        </w:tc>
        <w:tc>
          <w:tcPr>
            <w:tcW w:w="4601" w:type="dxa"/>
            <w:tcBorders>
              <w:top w:val="nil"/>
              <w:left w:val="nil"/>
              <w:bottom w:val="nil"/>
              <w:right w:val="nil"/>
            </w:tcBorders>
          </w:tcPr>
          <w:p w:rsidR="00D303F8" w:rsidRDefault="00D303F8" w:rsidP="00D303F8">
            <w:pPr>
              <w:spacing w:after="0" w:line="259" w:lineRule="auto"/>
              <w:ind w:left="0" w:firstLine="0"/>
              <w:jc w:val="left"/>
            </w:pPr>
            <w:r>
              <w:t>Envoi nouvelle convention :</w:t>
            </w:r>
          </w:p>
        </w:tc>
        <w:tc>
          <w:tcPr>
            <w:tcW w:w="2263" w:type="dxa"/>
            <w:tcBorders>
              <w:top w:val="nil"/>
              <w:left w:val="nil"/>
              <w:bottom w:val="nil"/>
              <w:right w:val="nil"/>
            </w:tcBorders>
          </w:tcPr>
          <w:p w:rsidR="00D303F8" w:rsidRDefault="00D303F8" w:rsidP="00D303F8">
            <w:pPr>
              <w:spacing w:after="0" w:line="259" w:lineRule="auto"/>
              <w:ind w:left="0" w:firstLine="0"/>
              <w:jc w:val="left"/>
            </w:pPr>
            <w:r w:rsidRPr="00D303F8">
              <w:t>Du 30/11 au 31/12/23</w:t>
            </w:r>
          </w:p>
        </w:tc>
      </w:tr>
      <w:tr w:rsidR="00D303F8" w:rsidTr="001B1BF9">
        <w:trPr>
          <w:trHeight w:val="287"/>
        </w:trPr>
        <w:tc>
          <w:tcPr>
            <w:tcW w:w="360" w:type="dxa"/>
            <w:tcBorders>
              <w:top w:val="nil"/>
              <w:left w:val="nil"/>
              <w:bottom w:val="nil"/>
              <w:right w:val="nil"/>
            </w:tcBorders>
          </w:tcPr>
          <w:p w:rsidR="00D303F8" w:rsidRDefault="00D303F8" w:rsidP="00D303F8">
            <w:pPr>
              <w:spacing w:after="0" w:line="259" w:lineRule="auto"/>
              <w:ind w:left="0" w:firstLine="0"/>
              <w:jc w:val="left"/>
              <w:rPr>
                <w:rFonts w:ascii="Arial" w:eastAsia="Arial" w:hAnsi="Arial" w:cs="Arial"/>
                <w:sz w:val="20"/>
              </w:rPr>
            </w:pPr>
          </w:p>
        </w:tc>
        <w:tc>
          <w:tcPr>
            <w:tcW w:w="4601" w:type="dxa"/>
            <w:tcBorders>
              <w:top w:val="nil"/>
              <w:left w:val="nil"/>
              <w:bottom w:val="nil"/>
              <w:right w:val="nil"/>
            </w:tcBorders>
          </w:tcPr>
          <w:p w:rsidR="00D303F8" w:rsidRDefault="00D303F8" w:rsidP="00D303F8">
            <w:pPr>
              <w:spacing w:after="0" w:line="259" w:lineRule="auto"/>
              <w:ind w:left="0" w:firstLine="0"/>
              <w:jc w:val="left"/>
            </w:pPr>
          </w:p>
        </w:tc>
        <w:tc>
          <w:tcPr>
            <w:tcW w:w="2263" w:type="dxa"/>
            <w:tcBorders>
              <w:top w:val="nil"/>
              <w:left w:val="nil"/>
              <w:bottom w:val="nil"/>
              <w:right w:val="nil"/>
            </w:tcBorders>
          </w:tcPr>
          <w:p w:rsidR="00D303F8" w:rsidRDefault="00D303F8" w:rsidP="00D303F8">
            <w:pPr>
              <w:spacing w:after="0" w:line="259" w:lineRule="auto"/>
              <w:ind w:left="0" w:firstLine="0"/>
            </w:pPr>
          </w:p>
        </w:tc>
      </w:tr>
    </w:tbl>
    <w:p w:rsidR="0044261E" w:rsidRDefault="001D333C">
      <w:pPr>
        <w:pStyle w:val="Titre1"/>
        <w:tabs>
          <w:tab w:val="center" w:pos="1595"/>
        </w:tabs>
        <w:spacing w:after="275"/>
        <w:ind w:left="0" w:firstLine="0"/>
      </w:pPr>
      <w:r>
        <w:t>3.</w:t>
      </w:r>
      <w:r>
        <w:tab/>
        <w:t xml:space="preserve">LE CONTEXTE </w:t>
      </w:r>
    </w:p>
    <w:p w:rsidR="0044261E" w:rsidRDefault="001D333C">
      <w:pPr>
        <w:pStyle w:val="Titre2"/>
        <w:tabs>
          <w:tab w:val="center" w:pos="1499"/>
        </w:tabs>
        <w:ind w:left="-15" w:firstLine="0"/>
      </w:pPr>
      <w:r>
        <w:t>3.1.</w:t>
      </w:r>
      <w:r>
        <w:tab/>
        <w:t xml:space="preserve">Objectifs </w:t>
      </w:r>
    </w:p>
    <w:p w:rsidR="0044261E" w:rsidRDefault="001D333C">
      <w:pPr>
        <w:ind w:left="346"/>
      </w:pPr>
      <w:r>
        <w:t xml:space="preserve">Le Dispositif National d’Aide et d’Accompagnement à Domicile est un service de l’UNADEV permettant de </w:t>
      </w:r>
      <w:r w:rsidR="00D303F8">
        <w:t>financer une partie</w:t>
      </w:r>
      <w:r>
        <w:t xml:space="preserve"> des services d’aide à la personne pour ses bénéficiaires aveugles et </w:t>
      </w:r>
      <w:r w:rsidR="00D303F8">
        <w:t>malvoyants</w:t>
      </w:r>
      <w:r>
        <w:t xml:space="preserve">. </w:t>
      </w:r>
    </w:p>
    <w:p w:rsidR="0044261E" w:rsidRDefault="001D333C">
      <w:pPr>
        <w:ind w:left="346"/>
      </w:pPr>
      <w:r>
        <w:t>L’U</w:t>
      </w:r>
      <w:r w:rsidR="00D303F8">
        <w:t>nadev</w:t>
      </w:r>
      <w:r>
        <w:t xml:space="preserve"> souhaite aujourd’hui s’engager dans une démarche lui permettant de contrôler la qualité des services délivrés, d’homogénéiser ses pratiques, rendre un service de même niveau de qualité sur l’ensemble du territoire. </w:t>
      </w:r>
    </w:p>
    <w:p w:rsidR="0044261E" w:rsidRDefault="001D333C">
      <w:pPr>
        <w:spacing w:after="14" w:line="259" w:lineRule="auto"/>
        <w:ind w:left="351" w:firstLine="0"/>
        <w:jc w:val="left"/>
      </w:pPr>
      <w:r>
        <w:t xml:space="preserve"> </w:t>
      </w:r>
    </w:p>
    <w:p w:rsidR="0044261E" w:rsidRDefault="001D333C">
      <w:pPr>
        <w:spacing w:after="249"/>
        <w:ind w:left="346"/>
      </w:pPr>
      <w:r>
        <w:t>Les objectifs de l’U</w:t>
      </w:r>
      <w:r w:rsidR="00D303F8">
        <w:t>nadev</w:t>
      </w:r>
      <w:r>
        <w:t xml:space="preserve"> sont : </w:t>
      </w:r>
    </w:p>
    <w:p w:rsidR="0044261E" w:rsidRDefault="001D333C">
      <w:pPr>
        <w:numPr>
          <w:ilvl w:val="0"/>
          <w:numId w:val="3"/>
        </w:numPr>
        <w:ind w:left="1071" w:hanging="360"/>
      </w:pPr>
      <w:r>
        <w:t>De mettre en place une approche rigoureuse d’amélioration continue de la qualité de service rendu à ses bénéficiaires dans une pe</w:t>
      </w:r>
      <w:r w:rsidR="0016685F">
        <w:t>rspective d’engagement mutuel</w:t>
      </w:r>
    </w:p>
    <w:p w:rsidR="0044261E" w:rsidRDefault="001D333C">
      <w:pPr>
        <w:numPr>
          <w:ilvl w:val="0"/>
          <w:numId w:val="3"/>
        </w:numPr>
        <w:ind w:left="1071" w:hanging="360"/>
      </w:pPr>
      <w:r>
        <w:t xml:space="preserve">De participer </w:t>
      </w:r>
      <w:r w:rsidR="00D303F8">
        <w:t>financièrement</w:t>
      </w:r>
      <w:r w:rsidR="00776742">
        <w:t xml:space="preserve"> aux</w:t>
      </w:r>
      <w:r>
        <w:t xml:space="preserve"> services délivrés par des prestataires</w:t>
      </w:r>
      <w:r w:rsidR="0016685F">
        <w:t xml:space="preserve"> labellisés</w:t>
      </w:r>
    </w:p>
    <w:p w:rsidR="0044261E" w:rsidRDefault="001D333C">
      <w:pPr>
        <w:numPr>
          <w:ilvl w:val="0"/>
          <w:numId w:val="3"/>
        </w:numPr>
        <w:ind w:left="1071" w:hanging="360"/>
      </w:pPr>
      <w:r>
        <w:t>D’homogénéiser ses pratiques, rendre un service de même niveau de qualité</w:t>
      </w:r>
      <w:r w:rsidR="0016685F">
        <w:t xml:space="preserve"> sur l’ensemble du territoire</w:t>
      </w:r>
    </w:p>
    <w:p w:rsidR="0044261E" w:rsidRDefault="001D333C">
      <w:pPr>
        <w:numPr>
          <w:ilvl w:val="0"/>
          <w:numId w:val="3"/>
        </w:numPr>
        <w:ind w:left="1071" w:hanging="360"/>
      </w:pPr>
      <w:r>
        <w:t>De permettre de mieux tra</w:t>
      </w:r>
      <w:r w:rsidR="00776742">
        <w:t>vailler avec les prestataires</w:t>
      </w:r>
    </w:p>
    <w:p w:rsidR="00D303F8" w:rsidRDefault="00D303F8">
      <w:pPr>
        <w:numPr>
          <w:ilvl w:val="0"/>
          <w:numId w:val="3"/>
        </w:numPr>
        <w:ind w:left="1071" w:hanging="360"/>
      </w:pPr>
      <w:r>
        <w:t>De sensibiliser le personnel des structures labellisées via la consultation du site de formation de l’Unadev pour une prise en charge plus qualitative</w:t>
      </w:r>
    </w:p>
    <w:p w:rsidR="00D303F8" w:rsidRDefault="001D333C" w:rsidP="00D303F8">
      <w:pPr>
        <w:numPr>
          <w:ilvl w:val="0"/>
          <w:numId w:val="3"/>
        </w:numPr>
        <w:spacing w:after="328" w:line="281" w:lineRule="auto"/>
        <w:ind w:left="1071" w:hanging="360"/>
      </w:pPr>
      <w:r>
        <w:t>De permettre aux prestataires labellisés de communi</w:t>
      </w:r>
      <w:r w:rsidR="00776742">
        <w:t xml:space="preserve">quer en interne et en externe </w:t>
      </w:r>
    </w:p>
    <w:p w:rsidR="0044261E" w:rsidRDefault="001D333C">
      <w:pPr>
        <w:pStyle w:val="Titre2"/>
        <w:tabs>
          <w:tab w:val="center" w:pos="1758"/>
        </w:tabs>
        <w:ind w:left="-15" w:firstLine="0"/>
      </w:pPr>
      <w:r>
        <w:lastRenderedPageBreak/>
        <w:t>3.2.</w:t>
      </w:r>
      <w:r>
        <w:tab/>
        <w:t xml:space="preserve">Le périmètre </w:t>
      </w:r>
    </w:p>
    <w:p w:rsidR="0044261E" w:rsidRDefault="001D333C">
      <w:pPr>
        <w:ind w:left="346"/>
      </w:pPr>
      <w:r>
        <w:t>Cet appel à candidatures concerne uniquement l’U</w:t>
      </w:r>
      <w:r w:rsidR="00D303F8">
        <w:t xml:space="preserve">nadev </w:t>
      </w:r>
      <w:r>
        <w:t>dont le siège s</w:t>
      </w:r>
      <w:r w:rsidR="0014621A">
        <w:t xml:space="preserve">ocial est au 12 rue de Cursol </w:t>
      </w:r>
      <w:r>
        <w:t>33002 Bordeaux Cedex N° SIREN : 781 846</w:t>
      </w:r>
      <w:r w:rsidR="00776742">
        <w:t> </w:t>
      </w:r>
      <w:r>
        <w:t xml:space="preserve">845 </w:t>
      </w:r>
    </w:p>
    <w:p w:rsidR="00776742" w:rsidRDefault="00776742">
      <w:pPr>
        <w:ind w:left="346"/>
      </w:pPr>
    </w:p>
    <w:p w:rsidR="0044261E" w:rsidRDefault="001D333C">
      <w:pPr>
        <w:pStyle w:val="Titre2"/>
        <w:tabs>
          <w:tab w:val="center" w:pos="2480"/>
        </w:tabs>
        <w:ind w:left="-15" w:firstLine="0"/>
      </w:pPr>
      <w:r>
        <w:t>3.3.</w:t>
      </w:r>
      <w:r>
        <w:tab/>
        <w:t xml:space="preserve">Les critères de sélection </w:t>
      </w:r>
    </w:p>
    <w:p w:rsidR="0044261E" w:rsidRDefault="001D333C">
      <w:pPr>
        <w:ind w:left="346"/>
      </w:pPr>
      <w:r>
        <w:t xml:space="preserve">Les candidatures seront évaluées sur base des critères hiérarchisés ci-dessous :  </w:t>
      </w:r>
    </w:p>
    <w:p w:rsidR="0044261E" w:rsidRDefault="001D333C">
      <w:pPr>
        <w:spacing w:after="55" w:line="259" w:lineRule="auto"/>
        <w:ind w:left="351" w:firstLine="0"/>
        <w:jc w:val="left"/>
      </w:pPr>
      <w:r>
        <w:t xml:space="preserve"> </w:t>
      </w:r>
    </w:p>
    <w:p w:rsidR="0044261E" w:rsidRDefault="001D333C">
      <w:pPr>
        <w:numPr>
          <w:ilvl w:val="0"/>
          <w:numId w:val="4"/>
        </w:numPr>
        <w:spacing w:after="144" w:line="259" w:lineRule="auto"/>
        <w:ind w:hanging="706"/>
        <w:jc w:val="left"/>
      </w:pPr>
      <w:r>
        <w:rPr>
          <w:u w:val="single" w:color="000000"/>
        </w:rPr>
        <w:t>Conformité administrative</w:t>
      </w:r>
      <w:r w:rsidR="00E84326">
        <w:t xml:space="preserve"> : ​</w:t>
      </w:r>
      <w:r>
        <w:t xml:space="preserve">  </w:t>
      </w:r>
    </w:p>
    <w:p w:rsidR="0044261E" w:rsidRDefault="001D333C">
      <w:pPr>
        <w:spacing w:after="50"/>
        <w:ind w:left="1772"/>
      </w:pPr>
      <w:r>
        <w:t xml:space="preserve"> Toute soumission non conforme administrativement ne sera pas éligible.  </w:t>
      </w:r>
    </w:p>
    <w:p w:rsidR="0044261E" w:rsidRDefault="001D333C">
      <w:pPr>
        <w:numPr>
          <w:ilvl w:val="0"/>
          <w:numId w:val="4"/>
        </w:numPr>
        <w:spacing w:after="144" w:line="259" w:lineRule="auto"/>
        <w:ind w:hanging="706"/>
        <w:jc w:val="left"/>
      </w:pPr>
      <w:r>
        <w:rPr>
          <w:u w:val="single" w:color="000000"/>
        </w:rPr>
        <w:t>Conformité technique</w:t>
      </w:r>
      <w:r w:rsidR="00E84326">
        <w:rPr>
          <w:u w:val="single" w:color="000000"/>
        </w:rPr>
        <w:t xml:space="preserve"> </w:t>
      </w:r>
      <w:r w:rsidR="00E84326">
        <w:t>:</w:t>
      </w:r>
      <w:r w:rsidR="00E84326">
        <w:rPr>
          <w:u w:val="single" w:color="000000"/>
        </w:rPr>
        <w:t xml:space="preserve"> ​</w:t>
      </w:r>
      <w:r>
        <w:t xml:space="preserve"> </w:t>
      </w:r>
    </w:p>
    <w:p w:rsidR="0044261E" w:rsidRDefault="001D333C">
      <w:pPr>
        <w:spacing w:after="50"/>
        <w:ind w:left="1772"/>
      </w:pPr>
      <w:r>
        <w:t xml:space="preserve"> Respect et compréhension de la demande de </w:t>
      </w:r>
      <w:r w:rsidR="00E84326">
        <w:t>l’Unadev</w:t>
      </w:r>
      <w:r>
        <w:t xml:space="preserve">  </w:t>
      </w:r>
    </w:p>
    <w:p w:rsidR="0044261E" w:rsidRDefault="001D333C">
      <w:pPr>
        <w:pStyle w:val="Titre2"/>
        <w:tabs>
          <w:tab w:val="center" w:pos="1512"/>
        </w:tabs>
        <w:ind w:left="-15" w:firstLine="0"/>
      </w:pPr>
      <w:r>
        <w:t>3.4.</w:t>
      </w:r>
      <w:r>
        <w:tab/>
        <w:t xml:space="preserve">Principes </w:t>
      </w:r>
    </w:p>
    <w:p w:rsidR="0044261E" w:rsidRDefault="001D333C">
      <w:pPr>
        <w:spacing w:after="132"/>
        <w:ind w:left="346"/>
      </w:pPr>
      <w:r>
        <w:t>L’U</w:t>
      </w:r>
      <w:r w:rsidR="00E84326">
        <w:t>nadev</w:t>
      </w:r>
      <w:r>
        <w:t xml:space="preserve"> insiste sur un déroulement de l’appel à candidatures dans les meilleures conditions possibles pour l’ensemble des interlocuteurs. A cet effet, l’</w:t>
      </w:r>
      <w:r w:rsidR="00E84326">
        <w:t>Unadev</w:t>
      </w:r>
      <w:r>
        <w:t xml:space="preserve"> demande aux prestataires de nous faire parvenir </w:t>
      </w:r>
      <w:r w:rsidR="00E84326">
        <w:t>un dossier complet</w:t>
      </w:r>
      <w:r>
        <w:rPr>
          <w:u w:val="single" w:color="000000"/>
        </w:rPr>
        <w:t xml:space="preserve"> dès leur première soumission</w:t>
      </w:r>
      <w:r>
        <w:t>​</w:t>
      </w:r>
    </w:p>
    <w:p w:rsidR="0044261E" w:rsidRDefault="001D333C">
      <w:pPr>
        <w:ind w:left="346"/>
      </w:pPr>
      <w:r>
        <w:t xml:space="preserve">La tenue de la date au plus tard de réponse (date de clôture) de l’appel à candidatures est impérative. </w:t>
      </w:r>
    </w:p>
    <w:p w:rsidR="0044261E" w:rsidRDefault="001D333C">
      <w:pPr>
        <w:spacing w:after="14" w:line="259" w:lineRule="auto"/>
        <w:ind w:left="351" w:firstLine="0"/>
        <w:jc w:val="left"/>
      </w:pPr>
      <w:r>
        <w:t xml:space="preserve"> </w:t>
      </w:r>
    </w:p>
    <w:p w:rsidR="0044261E" w:rsidRDefault="001D333C">
      <w:pPr>
        <w:ind w:left="346"/>
      </w:pPr>
      <w:r>
        <w:t>L’U</w:t>
      </w:r>
      <w:r w:rsidR="00E84326">
        <w:t>nadev</w:t>
      </w:r>
      <w:r>
        <w:t xml:space="preserve"> s’engage à être disponible et transparent tout au long du processus de labellisation. Tout élément nouveau qui ressort durant l’appel à candidatures et qui pourrait altérer les enjeux, sera bien entendu immédiatement communiqué à la totalité des participants concernés. </w:t>
      </w:r>
    </w:p>
    <w:p w:rsidR="0044261E" w:rsidRDefault="001D333C">
      <w:pPr>
        <w:spacing w:after="14" w:line="259" w:lineRule="auto"/>
        <w:ind w:left="351" w:firstLine="0"/>
        <w:jc w:val="left"/>
      </w:pPr>
      <w:r>
        <w:t xml:space="preserve"> </w:t>
      </w:r>
    </w:p>
    <w:p w:rsidR="0044261E" w:rsidRDefault="001D333C">
      <w:pPr>
        <w:ind w:left="346"/>
      </w:pPr>
      <w:r>
        <w:t>L’U</w:t>
      </w:r>
      <w:r w:rsidR="00E84326">
        <w:t>nadev</w:t>
      </w:r>
      <w:r>
        <w:t xml:space="preserve"> se réserve le droit de labelliser plusieurs prestataires pour satisfaire le besoin exprimé. </w:t>
      </w:r>
    </w:p>
    <w:p w:rsidR="0044261E" w:rsidRDefault="001D333C">
      <w:pPr>
        <w:spacing w:after="14" w:line="259" w:lineRule="auto"/>
        <w:ind w:left="351" w:firstLine="0"/>
        <w:jc w:val="left"/>
      </w:pPr>
      <w:r>
        <w:t xml:space="preserve"> </w:t>
      </w:r>
    </w:p>
    <w:p w:rsidR="0044261E" w:rsidRDefault="00E84326">
      <w:pPr>
        <w:spacing w:after="342"/>
        <w:ind w:left="346"/>
      </w:pPr>
      <w:r>
        <w:t>Toute candidature conforme administrativement et techniquement pourra faire l’objet d’une labellisation dès lors que la proposition du prestataire répond à un besoin de l’Unadev</w:t>
      </w:r>
      <w:r w:rsidR="001D333C">
        <w:t xml:space="preserve">. </w:t>
      </w:r>
    </w:p>
    <w:p w:rsidR="0044261E" w:rsidRDefault="001D333C">
      <w:pPr>
        <w:pStyle w:val="Titre1"/>
        <w:tabs>
          <w:tab w:val="center" w:pos="2466"/>
        </w:tabs>
        <w:ind w:left="0" w:firstLine="0"/>
      </w:pPr>
      <w:r>
        <w:t>4.</w:t>
      </w:r>
      <w:r>
        <w:tab/>
        <w:t xml:space="preserve">LES BESOINS À SATISFAIRE </w:t>
      </w:r>
    </w:p>
    <w:p w:rsidR="0044261E" w:rsidRDefault="001D333C">
      <w:pPr>
        <w:spacing w:after="305"/>
        <w:ind w:left="346"/>
      </w:pPr>
      <w:r>
        <w:t>L’U</w:t>
      </w:r>
      <w:r w:rsidR="00E84326">
        <w:t>nadev</w:t>
      </w:r>
      <w:r>
        <w:t xml:space="preserve"> reste totalement à l’écoute des prestataires pour toutes les suggestions qui contribuent à améliorer la qualité de service auprès des bénéficiaires et à l’optimisation des coûts de gestion.  </w:t>
      </w:r>
    </w:p>
    <w:p w:rsidR="0044261E" w:rsidRDefault="001D333C">
      <w:pPr>
        <w:pStyle w:val="Titre2"/>
        <w:tabs>
          <w:tab w:val="center" w:pos="1477"/>
        </w:tabs>
        <w:ind w:left="-15" w:firstLine="0"/>
      </w:pPr>
      <w:r>
        <w:t>4.1.</w:t>
      </w:r>
      <w:r>
        <w:tab/>
        <w:t xml:space="preserve">Contenu </w:t>
      </w:r>
    </w:p>
    <w:p w:rsidR="0044261E" w:rsidRDefault="001D333C">
      <w:pPr>
        <w:ind w:left="346"/>
      </w:pPr>
      <w:r>
        <w:t xml:space="preserve">L’appel à candidatures a comme grandes caractéristiques : </w:t>
      </w:r>
    </w:p>
    <w:p w:rsidR="00776742" w:rsidRDefault="00776742">
      <w:pPr>
        <w:ind w:left="346"/>
      </w:pPr>
    </w:p>
    <w:tbl>
      <w:tblPr>
        <w:tblStyle w:val="TableGrid"/>
        <w:tblW w:w="7221" w:type="dxa"/>
        <w:tblInd w:w="711" w:type="dxa"/>
        <w:tblLook w:val="04A0" w:firstRow="1" w:lastRow="0" w:firstColumn="1" w:lastColumn="0" w:noHBand="0" w:noVBand="1"/>
      </w:tblPr>
      <w:tblGrid>
        <w:gridCol w:w="360"/>
        <w:gridCol w:w="4324"/>
        <w:gridCol w:w="2537"/>
      </w:tblGrid>
      <w:tr w:rsidR="0044261E">
        <w:trPr>
          <w:trHeight w:val="267"/>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324" w:type="dxa"/>
            <w:tcBorders>
              <w:top w:val="nil"/>
              <w:left w:val="nil"/>
              <w:bottom w:val="nil"/>
              <w:right w:val="nil"/>
            </w:tcBorders>
          </w:tcPr>
          <w:p w:rsidR="0044261E" w:rsidRDefault="001D333C" w:rsidP="00E84326">
            <w:pPr>
              <w:tabs>
                <w:tab w:val="center" w:pos="2162"/>
                <w:tab w:val="center" w:pos="2882"/>
              </w:tabs>
              <w:spacing w:after="0" w:line="259" w:lineRule="auto"/>
              <w:ind w:left="0" w:firstLine="0"/>
              <w:jc w:val="left"/>
            </w:pPr>
            <w:r>
              <w:t xml:space="preserve">Type </w:t>
            </w:r>
            <w:r w:rsidR="00E84326">
              <w:t>de projet</w:t>
            </w:r>
            <w:r>
              <w:t xml:space="preserve"> : </w:t>
            </w:r>
            <w:r>
              <w:tab/>
              <w:t xml:space="preserve"> </w:t>
            </w:r>
            <w:r>
              <w:tab/>
              <w:t xml:space="preserve"> </w:t>
            </w:r>
          </w:p>
        </w:tc>
        <w:tc>
          <w:tcPr>
            <w:tcW w:w="2537" w:type="dxa"/>
            <w:tcBorders>
              <w:top w:val="nil"/>
              <w:left w:val="nil"/>
              <w:bottom w:val="nil"/>
              <w:right w:val="nil"/>
            </w:tcBorders>
          </w:tcPr>
          <w:p w:rsidR="0044261E" w:rsidRDefault="001D333C" w:rsidP="0014621A">
            <w:pPr>
              <w:spacing w:after="0" w:line="259" w:lineRule="auto"/>
              <w:ind w:left="0" w:firstLine="0"/>
            </w:pPr>
            <w:r>
              <w:t>Labellisation « U</w:t>
            </w:r>
            <w:r w:rsidR="0014621A">
              <w:t>nadev</w:t>
            </w:r>
            <w:r>
              <w:t xml:space="preserve"> » </w:t>
            </w:r>
          </w:p>
        </w:tc>
      </w:tr>
      <w:tr w:rsidR="0044261E">
        <w:trPr>
          <w:trHeight w:val="416"/>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t>●</w:t>
            </w:r>
          </w:p>
        </w:tc>
        <w:tc>
          <w:tcPr>
            <w:tcW w:w="4324" w:type="dxa"/>
            <w:tcBorders>
              <w:top w:val="nil"/>
              <w:left w:val="nil"/>
              <w:bottom w:val="nil"/>
              <w:right w:val="nil"/>
            </w:tcBorders>
          </w:tcPr>
          <w:p w:rsidR="0044261E" w:rsidRDefault="001D333C">
            <w:pPr>
              <w:spacing w:after="0" w:line="259" w:lineRule="auto"/>
              <w:ind w:left="0" w:firstLine="0"/>
              <w:jc w:val="left"/>
            </w:pPr>
            <w:r>
              <w:t xml:space="preserve">Valeur estimée des aides : </w:t>
            </w:r>
          </w:p>
        </w:tc>
        <w:tc>
          <w:tcPr>
            <w:tcW w:w="2537" w:type="dxa"/>
            <w:tcBorders>
              <w:top w:val="nil"/>
              <w:left w:val="nil"/>
              <w:bottom w:val="nil"/>
              <w:right w:val="nil"/>
            </w:tcBorders>
          </w:tcPr>
          <w:p w:rsidR="0044261E" w:rsidRDefault="00E84326">
            <w:pPr>
              <w:spacing w:after="0" w:line="259" w:lineRule="auto"/>
              <w:ind w:left="0" w:firstLine="0"/>
              <w:jc w:val="left"/>
            </w:pPr>
            <w:r>
              <w:t xml:space="preserve">2 </w:t>
            </w:r>
            <w:r w:rsidR="00D16723">
              <w:t>M</w:t>
            </w:r>
            <w:r w:rsidR="001D333C">
              <w:t xml:space="preserve">K€ annuels  </w:t>
            </w:r>
          </w:p>
        </w:tc>
      </w:tr>
      <w:tr w:rsidR="0044261E">
        <w:trPr>
          <w:trHeight w:val="222"/>
        </w:trPr>
        <w:tc>
          <w:tcPr>
            <w:tcW w:w="360" w:type="dxa"/>
            <w:tcBorders>
              <w:top w:val="nil"/>
              <w:left w:val="nil"/>
              <w:bottom w:val="nil"/>
              <w:right w:val="nil"/>
            </w:tcBorders>
          </w:tcPr>
          <w:p w:rsidR="0044261E" w:rsidRDefault="001D333C">
            <w:pPr>
              <w:spacing w:after="0" w:line="259" w:lineRule="auto"/>
              <w:ind w:left="0" w:firstLine="0"/>
              <w:jc w:val="left"/>
            </w:pPr>
            <w:r>
              <w:rPr>
                <w:rFonts w:ascii="Arial" w:eastAsia="Arial" w:hAnsi="Arial" w:cs="Arial"/>
                <w:sz w:val="20"/>
              </w:rPr>
              <w:lastRenderedPageBreak/>
              <w:t>●</w:t>
            </w:r>
          </w:p>
        </w:tc>
        <w:tc>
          <w:tcPr>
            <w:tcW w:w="4324" w:type="dxa"/>
            <w:tcBorders>
              <w:top w:val="nil"/>
              <w:left w:val="nil"/>
              <w:bottom w:val="nil"/>
              <w:right w:val="nil"/>
            </w:tcBorders>
          </w:tcPr>
          <w:p w:rsidR="0044261E" w:rsidRDefault="001D333C" w:rsidP="00E84326">
            <w:pPr>
              <w:spacing w:after="0" w:line="259" w:lineRule="auto"/>
              <w:ind w:left="0" w:firstLine="0"/>
              <w:jc w:val="left"/>
            </w:pPr>
            <w:r>
              <w:t xml:space="preserve">Lieu(x) d’exécution </w:t>
            </w:r>
            <w:r w:rsidR="00E84326">
              <w:t>des prestations</w:t>
            </w:r>
            <w:r>
              <w:t xml:space="preserve"> : </w:t>
            </w:r>
          </w:p>
        </w:tc>
        <w:tc>
          <w:tcPr>
            <w:tcW w:w="2537" w:type="dxa"/>
            <w:tcBorders>
              <w:top w:val="nil"/>
              <w:left w:val="nil"/>
              <w:bottom w:val="nil"/>
              <w:right w:val="nil"/>
            </w:tcBorders>
          </w:tcPr>
          <w:p w:rsidR="0044261E" w:rsidRDefault="001D333C">
            <w:pPr>
              <w:spacing w:after="0" w:line="259" w:lineRule="auto"/>
              <w:ind w:left="0" w:firstLine="0"/>
              <w:jc w:val="left"/>
            </w:pPr>
            <w:r>
              <w:t xml:space="preserve">France métropole  </w:t>
            </w:r>
          </w:p>
        </w:tc>
      </w:tr>
    </w:tbl>
    <w:p w:rsidR="0044261E" w:rsidRDefault="001D333C">
      <w:pPr>
        <w:numPr>
          <w:ilvl w:val="0"/>
          <w:numId w:val="5"/>
        </w:numPr>
        <w:ind w:left="1071" w:hanging="360"/>
      </w:pPr>
      <w:r>
        <w:t>D</w:t>
      </w:r>
      <w:r w:rsidR="00776742">
        <w:t xml:space="preserve">urée de la Labellisation : </w:t>
      </w:r>
      <w:r w:rsidR="00776742">
        <w:tab/>
        <w:t xml:space="preserve"> </w:t>
      </w:r>
      <w:r w:rsidR="00776742">
        <w:tab/>
        <w:t xml:space="preserve">        </w:t>
      </w:r>
      <w:r>
        <w:t xml:space="preserve">36 mois (si cahier des charges tenu par le prestataire) </w:t>
      </w:r>
    </w:p>
    <w:p w:rsidR="0044261E" w:rsidRDefault="001D333C">
      <w:pPr>
        <w:numPr>
          <w:ilvl w:val="0"/>
          <w:numId w:val="5"/>
        </w:numPr>
        <w:ind w:left="1071" w:hanging="360"/>
      </w:pPr>
      <w:r>
        <w:t xml:space="preserve">Labellisation reconductible :  </w:t>
      </w:r>
      <w:r>
        <w:tab/>
      </w:r>
      <w:r w:rsidR="00776742">
        <w:t xml:space="preserve">                     </w:t>
      </w:r>
      <w:r>
        <w:t xml:space="preserve">oui </w:t>
      </w:r>
    </w:p>
    <w:p w:rsidR="0044261E" w:rsidRDefault="001D333C">
      <w:pPr>
        <w:numPr>
          <w:ilvl w:val="0"/>
          <w:numId w:val="5"/>
        </w:numPr>
        <w:spacing w:after="26"/>
        <w:ind w:left="1071" w:hanging="360"/>
      </w:pPr>
      <w:r>
        <w:t xml:space="preserve">Prestations concernées : </w:t>
      </w:r>
    </w:p>
    <w:p w:rsidR="0044261E" w:rsidRDefault="001D333C" w:rsidP="00977386">
      <w:pPr>
        <w:numPr>
          <w:ilvl w:val="1"/>
          <w:numId w:val="5"/>
        </w:numPr>
        <w:spacing w:after="328" w:line="281" w:lineRule="auto"/>
      </w:pPr>
      <w:r>
        <w:t xml:space="preserve">Assistance aux personnes handicapées ; </w:t>
      </w:r>
      <w:r w:rsidRPr="00E84326">
        <w:rPr>
          <w:rFonts w:ascii="Courier New" w:eastAsia="Courier New" w:hAnsi="Courier New" w:cs="Courier New"/>
        </w:rPr>
        <w:t xml:space="preserve">o </w:t>
      </w:r>
      <w:r>
        <w:t xml:space="preserve">Accompagnement des personnes handicapées en dehors du domicile ; </w:t>
      </w:r>
      <w:r w:rsidRPr="00E84326">
        <w:rPr>
          <w:rFonts w:ascii="Courier New" w:eastAsia="Courier New" w:hAnsi="Courier New" w:cs="Courier New"/>
        </w:rPr>
        <w:t xml:space="preserve">o </w:t>
      </w:r>
      <w:r>
        <w:t xml:space="preserve">Garde d’enfants de moins de 3 ans et de moins de 18 ans handicapés à domicile ; </w:t>
      </w:r>
      <w:r w:rsidRPr="00E84326">
        <w:rPr>
          <w:rFonts w:ascii="Courier New" w:eastAsia="Courier New" w:hAnsi="Courier New" w:cs="Courier New"/>
        </w:rPr>
        <w:t xml:space="preserve">o </w:t>
      </w:r>
      <w:r>
        <w:t xml:space="preserve">Accompagnement d’enfants de moins de 3 ans et de moins de 18 ans handicapés ; </w:t>
      </w:r>
      <w:r w:rsidRPr="00E84326">
        <w:rPr>
          <w:rFonts w:ascii="Courier New" w:eastAsia="Courier New" w:hAnsi="Courier New" w:cs="Courier New"/>
        </w:rPr>
        <w:t xml:space="preserve">o </w:t>
      </w:r>
      <w:r>
        <w:t xml:space="preserve">Accompagnement des enfants handicapés de plus de 3 ans dans leurs déplacements ; </w:t>
      </w:r>
      <w:r w:rsidR="00E84326" w:rsidRPr="00E84326">
        <w:rPr>
          <w:rFonts w:ascii="Courier New" w:eastAsia="Courier New" w:hAnsi="Courier New" w:cs="Courier New"/>
        </w:rPr>
        <w:t>o</w:t>
      </w:r>
      <w:r>
        <w:t xml:space="preserve"> Garde d’enfants handicapés de plus de 3 ans à leur domicile ; </w:t>
      </w:r>
      <w:r w:rsidRPr="00E84326">
        <w:rPr>
          <w:rFonts w:ascii="Courier New" w:eastAsia="Courier New" w:hAnsi="Courier New" w:cs="Courier New"/>
        </w:rPr>
        <w:t xml:space="preserve">o </w:t>
      </w:r>
      <w:r>
        <w:t xml:space="preserve">Préparation de repas à domicile pour des personnes en situation de handicap ; </w:t>
      </w:r>
      <w:r w:rsidRPr="00E84326">
        <w:rPr>
          <w:rFonts w:ascii="Courier New" w:eastAsia="Courier New" w:hAnsi="Courier New" w:cs="Courier New"/>
        </w:rPr>
        <w:t xml:space="preserve">o </w:t>
      </w:r>
      <w:r>
        <w:t xml:space="preserve">Entretien de la maison et travaux ménagers pour des personnes en situation de handicap ; </w:t>
      </w:r>
      <w:r w:rsidR="00E84326" w:rsidRPr="00E84326">
        <w:rPr>
          <w:rFonts w:ascii="Courier New" w:eastAsia="Courier New" w:hAnsi="Courier New" w:cs="Courier New"/>
        </w:rPr>
        <w:t>o</w:t>
      </w:r>
      <w:r w:rsidR="00E84326">
        <w:t xml:space="preserve"> </w:t>
      </w:r>
      <w:r>
        <w:t xml:space="preserve">Petits travaux de jardinage pour des personnes en situation de handicap ;  </w:t>
      </w:r>
      <w:r w:rsidRPr="00E84326">
        <w:rPr>
          <w:rFonts w:ascii="Courier New" w:eastAsia="Courier New" w:hAnsi="Courier New" w:cs="Courier New"/>
        </w:rPr>
        <w:t xml:space="preserve">o </w:t>
      </w:r>
      <w:r>
        <w:t xml:space="preserve">Travaux de petit bricolage pour des personnes en situation de handicap ;  </w:t>
      </w:r>
      <w:r w:rsidRPr="00E84326">
        <w:rPr>
          <w:rFonts w:ascii="Courier New" w:eastAsia="Courier New" w:hAnsi="Courier New" w:cs="Courier New"/>
        </w:rPr>
        <w:t xml:space="preserve">o </w:t>
      </w:r>
      <w:r>
        <w:t xml:space="preserve">Assistance administrative à domicile pour des personnes en situation de handicap. </w:t>
      </w:r>
    </w:p>
    <w:p w:rsidR="0044261E" w:rsidRDefault="001D333C">
      <w:pPr>
        <w:pStyle w:val="Titre2"/>
        <w:tabs>
          <w:tab w:val="center" w:pos="1754"/>
        </w:tabs>
        <w:spacing w:after="100"/>
        <w:ind w:left="-15" w:firstLine="0"/>
      </w:pPr>
      <w:r>
        <w:t>4.2.</w:t>
      </w:r>
      <w:r>
        <w:tab/>
        <w:t xml:space="preserve">Bénéficiaires </w:t>
      </w:r>
    </w:p>
    <w:p w:rsidR="0044261E" w:rsidRDefault="001D333C">
      <w:pPr>
        <w:spacing w:after="0" w:line="411" w:lineRule="auto"/>
        <w:ind w:left="346"/>
        <w:jc w:val="left"/>
      </w:pPr>
      <w:r>
        <w:t>Les bénéficiaires</w:t>
      </w:r>
      <w:r w:rsidR="00776742">
        <w:t xml:space="preserve"> du DNAAD</w:t>
      </w:r>
      <w:r>
        <w:t xml:space="preserve"> doivent </w:t>
      </w:r>
      <w:r w:rsidRPr="00776742">
        <w:t xml:space="preserve">être​ reconnus </w:t>
      </w:r>
      <w:r w:rsidR="00E84326">
        <w:t>aveugles ou malvoyants</w:t>
      </w:r>
      <w:r w:rsidRPr="00776742">
        <w:t xml:space="preserve"> tel que défini par les critères </w:t>
      </w:r>
      <w:r w:rsidR="00E70BB0">
        <w:t>de l’Unadev, sur la base de ceux posés par la</w:t>
      </w:r>
      <w:r w:rsidRPr="00776742">
        <w:t xml:space="preserve"> MDPH et résider en </w:t>
      </w:r>
      <w:r w:rsidR="00776742" w:rsidRPr="00776742">
        <w:t>France</w:t>
      </w:r>
      <w:r w:rsidR="00776742">
        <w:t>. ​</w:t>
      </w:r>
      <w:r>
        <w:t xml:space="preserve"> </w:t>
      </w:r>
    </w:p>
    <w:p w:rsidR="0044261E" w:rsidRDefault="001D333C" w:rsidP="00776742">
      <w:pPr>
        <w:spacing w:after="14" w:line="259" w:lineRule="auto"/>
        <w:ind w:left="351" w:firstLine="0"/>
        <w:jc w:val="left"/>
      </w:pPr>
      <w:r>
        <w:t xml:space="preserve">Dans le cas où </w:t>
      </w:r>
      <w:r w:rsidR="00E84326">
        <w:t>la personne accompagnée</w:t>
      </w:r>
      <w:r>
        <w:t xml:space="preserve"> n’est pas </w:t>
      </w:r>
      <w:r w:rsidR="00E84326">
        <w:t>enregistrée</w:t>
      </w:r>
      <w:r>
        <w:t xml:space="preserve"> à l’U</w:t>
      </w:r>
      <w:r w:rsidR="00E84326">
        <w:t>nadev</w:t>
      </w:r>
      <w:r>
        <w:t>, le futur bénéficiaire, ou le prestataire labellisé sollicitant une aide financière</w:t>
      </w:r>
      <w:r w:rsidR="00E70BB0">
        <w:t xml:space="preserve"> pour la personne accompagnée</w:t>
      </w:r>
      <w:r>
        <w:t xml:space="preserve">, devra suivre la procédure interne </w:t>
      </w:r>
      <w:r w:rsidR="00E70BB0">
        <w:t xml:space="preserve">de </w:t>
      </w:r>
      <w:r w:rsidR="0014621A">
        <w:t>l’Unadev</w:t>
      </w:r>
      <w:r w:rsidR="00E70BB0">
        <w:t xml:space="preserve"> concernant son é</w:t>
      </w:r>
      <w:r>
        <w:t xml:space="preserve">ligibilité avant toute prise en charge. </w:t>
      </w:r>
    </w:p>
    <w:p w:rsidR="00776742" w:rsidRDefault="00776742" w:rsidP="00776742">
      <w:pPr>
        <w:spacing w:after="14" w:line="259" w:lineRule="auto"/>
        <w:ind w:left="351" w:firstLine="0"/>
        <w:jc w:val="left"/>
      </w:pPr>
    </w:p>
    <w:p w:rsidR="0044261E" w:rsidRDefault="001D333C">
      <w:pPr>
        <w:pStyle w:val="Titre2"/>
        <w:tabs>
          <w:tab w:val="center" w:pos="1698"/>
        </w:tabs>
        <w:ind w:left="-15" w:firstLine="0"/>
      </w:pPr>
      <w:r>
        <w:t>4.3.</w:t>
      </w:r>
      <w:r>
        <w:tab/>
        <w:t xml:space="preserve">Prestataires </w:t>
      </w:r>
    </w:p>
    <w:p w:rsidR="0044261E" w:rsidRDefault="001D333C">
      <w:pPr>
        <w:ind w:left="346"/>
      </w:pPr>
      <w:r>
        <w:rPr>
          <w:u w:val="single" w:color="000000"/>
        </w:rPr>
        <w:t>Le label ne peut être attribué qu’à un organisme de service à la personne détenteur d’une</w:t>
      </w:r>
      <w:r>
        <w:t xml:space="preserve"> </w:t>
      </w:r>
      <w:r>
        <w:rPr>
          <w:u w:val="single" w:color="000000"/>
        </w:rPr>
        <w:t>autorisation d’un Conseil Départemental</w:t>
      </w:r>
      <w:r>
        <w:t xml:space="preserve"> pour dispenser des prestations selon la liste spécifique d’activités établ</w:t>
      </w:r>
      <w:r w:rsidR="00E70BB0">
        <w:t>ie par l’Unadev (voir paragraphe</w:t>
      </w:r>
      <w:r>
        <w:t xml:space="preserve"> </w:t>
      </w:r>
      <w:r w:rsidR="00E70BB0">
        <w:t>‘</w:t>
      </w:r>
      <w:r>
        <w:t>Prestations concernées</w:t>
      </w:r>
      <w:r w:rsidR="00E70BB0">
        <w:t>’</w:t>
      </w:r>
      <w:r>
        <w:t xml:space="preserve">). </w:t>
      </w:r>
    </w:p>
    <w:p w:rsidR="0044261E" w:rsidRDefault="001D333C" w:rsidP="00776742">
      <w:pPr>
        <w:spacing w:after="14" w:line="259" w:lineRule="auto"/>
        <w:ind w:left="351" w:firstLine="0"/>
        <w:jc w:val="left"/>
      </w:pPr>
      <w:r>
        <w:t xml:space="preserve">Le label ne peut être attribué qu’en mode prestataire. </w:t>
      </w:r>
    </w:p>
    <w:p w:rsidR="00776742" w:rsidRDefault="00776742" w:rsidP="00776742">
      <w:pPr>
        <w:spacing w:after="14" w:line="259" w:lineRule="auto"/>
        <w:ind w:left="351" w:firstLine="0"/>
        <w:jc w:val="left"/>
      </w:pPr>
    </w:p>
    <w:p w:rsidR="0044261E" w:rsidRDefault="001D333C">
      <w:pPr>
        <w:pStyle w:val="Titre2"/>
        <w:tabs>
          <w:tab w:val="center" w:pos="3926"/>
        </w:tabs>
        <w:ind w:left="-15" w:firstLine="0"/>
      </w:pPr>
      <w:r>
        <w:t>4.4.</w:t>
      </w:r>
      <w:r>
        <w:tab/>
        <w:t xml:space="preserve">Maintien de la labellisation et renouvellement </w:t>
      </w:r>
    </w:p>
    <w:p w:rsidR="0044261E" w:rsidRDefault="001D333C">
      <w:pPr>
        <w:ind w:left="346"/>
      </w:pPr>
      <w:r>
        <w:t>Pour confirmer et maintenir le label dans la période de 3 ans, le prestataire devra réaliser à chaque fin d’année civile un rapport d’activité</w:t>
      </w:r>
      <w:r w:rsidR="00E70BB0">
        <w:t xml:space="preserve"> sur la qualité des prestations délivrées</w:t>
      </w:r>
      <w:r>
        <w:t xml:space="preserve"> afin de vérifier la bonne exécution du label. </w:t>
      </w:r>
      <w:r w:rsidR="00E70BB0">
        <w:t>Un support dédié à l’Unadev sera transmis lors de l’envoi des nouvelles conventions en Décembre 2023.</w:t>
      </w:r>
    </w:p>
    <w:p w:rsidR="0044261E" w:rsidRDefault="001D333C">
      <w:pPr>
        <w:spacing w:after="14" w:line="259" w:lineRule="auto"/>
        <w:ind w:left="351" w:firstLine="0"/>
        <w:jc w:val="left"/>
      </w:pPr>
      <w:r>
        <w:t xml:space="preserve"> </w:t>
      </w:r>
    </w:p>
    <w:p w:rsidR="0044261E" w:rsidRDefault="001D333C">
      <w:pPr>
        <w:ind w:left="346"/>
      </w:pPr>
      <w:r>
        <w:t xml:space="preserve">Le prestataire s’engage à </w:t>
      </w:r>
      <w:r w:rsidR="0016685F">
        <w:t>sensibiliser</w:t>
      </w:r>
      <w:r>
        <w:t xml:space="preserve"> son personnel à la prise en charge d’un public aveugle et </w:t>
      </w:r>
      <w:r w:rsidR="00E70BB0">
        <w:t>malvoyant</w:t>
      </w:r>
      <w:r>
        <w:t xml:space="preserve"> </w:t>
      </w:r>
      <w:r w:rsidR="0016685F">
        <w:t>chaque année, à chaque fois qu’une prise en charge se présentera</w:t>
      </w:r>
      <w:r>
        <w:t>.</w:t>
      </w:r>
      <w:r w:rsidR="0016685F">
        <w:t xml:space="preserve"> Le prestataire </w:t>
      </w:r>
      <w:r w:rsidR="0016685F">
        <w:lastRenderedPageBreak/>
        <w:t>s’engage à accéder au site de sensibilisation crée par l’U</w:t>
      </w:r>
      <w:r w:rsidR="00DC44BC">
        <w:t xml:space="preserve">nadev  </w:t>
      </w:r>
      <w:r w:rsidR="00DC44BC" w:rsidRPr="0014621A">
        <w:t>https://formation.unadev.com</w:t>
      </w:r>
      <w:r w:rsidR="00DC44BC">
        <w:t xml:space="preserve"> </w:t>
      </w:r>
      <w:r w:rsidR="0016685F">
        <w:t xml:space="preserve"> et à accéder au contenu mis à disposition pour une meilleure qualité de service.</w:t>
      </w:r>
      <w:r>
        <w:t xml:space="preserve"> </w:t>
      </w:r>
    </w:p>
    <w:p w:rsidR="0044261E" w:rsidRDefault="001D333C">
      <w:pPr>
        <w:spacing w:after="0" w:line="259" w:lineRule="auto"/>
        <w:ind w:left="351" w:firstLine="0"/>
        <w:jc w:val="left"/>
      </w:pPr>
      <w:r>
        <w:t xml:space="preserve"> </w:t>
      </w:r>
    </w:p>
    <w:p w:rsidR="0044261E" w:rsidRDefault="001D333C">
      <w:pPr>
        <w:ind w:left="346"/>
      </w:pPr>
      <w:r>
        <w:t>L’U</w:t>
      </w:r>
      <w:r w:rsidR="00DC44BC">
        <w:t>nadev</w:t>
      </w:r>
      <w:r>
        <w:t xml:space="preserve"> effectuera des enquêtes qualité auprès des bénéficiaires du service et auprès des prestataires afin d’évaluer </w:t>
      </w:r>
      <w:r w:rsidR="00DC44BC">
        <w:t>la qualité de service</w:t>
      </w:r>
      <w:r>
        <w:t xml:space="preserve">. Le prestataire s’engage à se soumettre à ces </w:t>
      </w:r>
      <w:r w:rsidR="00DC44BC">
        <w:t>audits</w:t>
      </w:r>
      <w:r>
        <w:t xml:space="preserve"> et effectuer les améliorations potentielles. </w:t>
      </w:r>
    </w:p>
    <w:p w:rsidR="0044261E" w:rsidRDefault="001D333C">
      <w:pPr>
        <w:spacing w:after="14" w:line="259" w:lineRule="auto"/>
        <w:ind w:left="351" w:firstLine="0"/>
        <w:jc w:val="left"/>
      </w:pPr>
      <w:r>
        <w:t xml:space="preserve"> </w:t>
      </w:r>
    </w:p>
    <w:p w:rsidR="0044261E" w:rsidRDefault="001D333C">
      <w:pPr>
        <w:pStyle w:val="Titre1"/>
        <w:tabs>
          <w:tab w:val="center" w:pos="4400"/>
        </w:tabs>
        <w:ind w:left="0" w:firstLine="0"/>
      </w:pPr>
      <w:r>
        <w:t>5.</w:t>
      </w:r>
      <w:r>
        <w:tab/>
        <w:t xml:space="preserve">CONTENU DES RÉPONSES DE L’APPEL À CANDIDATURES </w:t>
      </w:r>
    </w:p>
    <w:p w:rsidR="00BC6B84" w:rsidRDefault="001D333C">
      <w:pPr>
        <w:spacing w:after="262"/>
        <w:ind w:left="346"/>
      </w:pPr>
      <w:r>
        <w:t>L’ensemble des données et documents nécessaires à la réponse à l’appel à candidatures sont rassemblés dans le « Dossier de candidature »</w:t>
      </w:r>
      <w:r w:rsidR="00BC6B84">
        <w:t xml:space="preserve"> accessible sur les sites suivants </w:t>
      </w:r>
      <w:r w:rsidR="00BC6B84" w:rsidRPr="0014621A">
        <w:t>https://formation.unadev.com</w:t>
      </w:r>
      <w:r w:rsidR="00BC6B84">
        <w:t xml:space="preserve"> avec les identifiants habituels ou </w:t>
      </w:r>
      <w:r w:rsidR="00BC6B84" w:rsidRPr="0014621A">
        <w:t>https://www.unadev.com</w:t>
      </w:r>
      <w:r w:rsidR="00BC6B84">
        <w:t xml:space="preserve"> </w:t>
      </w:r>
    </w:p>
    <w:p w:rsidR="0044261E" w:rsidRDefault="001D333C">
      <w:pPr>
        <w:spacing w:after="262"/>
        <w:ind w:left="346"/>
      </w:pPr>
      <w:r>
        <w:t xml:space="preserve">. Ce dernier comprend : </w:t>
      </w:r>
    </w:p>
    <w:p w:rsidR="0044261E" w:rsidRDefault="001D333C">
      <w:pPr>
        <w:numPr>
          <w:ilvl w:val="0"/>
          <w:numId w:val="6"/>
        </w:numPr>
        <w:ind w:left="1071" w:hanging="360"/>
      </w:pPr>
      <w:r>
        <w:t>Un accusé réception signé de ce cahier des charges garantissant la conformité et l’acceptation de ce dernier</w:t>
      </w:r>
    </w:p>
    <w:p w:rsidR="0044261E" w:rsidRDefault="001D333C">
      <w:pPr>
        <w:numPr>
          <w:ilvl w:val="0"/>
          <w:numId w:val="6"/>
        </w:numPr>
        <w:spacing w:after="47"/>
        <w:ind w:left="1071" w:hanging="360"/>
      </w:pPr>
      <w:r>
        <w:t>Une présentation du soumissionnaire: incluant un tableau de prestations, une matrice compétences/territoire</w:t>
      </w:r>
      <w:r w:rsidR="0016685F">
        <w:t>, un tableau sur la formation</w:t>
      </w:r>
      <w:r w:rsidR="00DC44BC">
        <w:t xml:space="preserve"> et sensibilisation de son personnel</w:t>
      </w:r>
      <w:r w:rsidR="0016685F">
        <w:t xml:space="preserve"> </w:t>
      </w:r>
    </w:p>
    <w:p w:rsidR="0044261E" w:rsidRDefault="001D333C">
      <w:pPr>
        <w:numPr>
          <w:ilvl w:val="0"/>
          <w:numId w:val="6"/>
        </w:numPr>
        <w:spacing w:after="139"/>
        <w:ind w:left="1071" w:hanging="360"/>
      </w:pPr>
      <w:r>
        <w:t>La liste des documents à fournir</w:t>
      </w:r>
      <w:r w:rsidR="0016685F">
        <w:t xml:space="preserve"> ​</w:t>
      </w:r>
      <w:r>
        <w:t xml:space="preserve"> </w:t>
      </w:r>
    </w:p>
    <w:p w:rsidR="0044261E" w:rsidRDefault="001D333C" w:rsidP="0016685F">
      <w:pPr>
        <w:spacing w:after="14" w:line="259" w:lineRule="auto"/>
        <w:ind w:left="351" w:firstLine="0"/>
        <w:jc w:val="left"/>
      </w:pPr>
      <w:r>
        <w:t xml:space="preserve"> Et tout autre élément que le prestataire souhaite fournir pour accompagner sa candidature. </w:t>
      </w:r>
    </w:p>
    <w:p w:rsidR="0016685F" w:rsidRDefault="0016685F" w:rsidP="0016685F">
      <w:pPr>
        <w:spacing w:after="14" w:line="259" w:lineRule="auto"/>
        <w:ind w:left="351" w:firstLine="0"/>
        <w:jc w:val="left"/>
      </w:pPr>
    </w:p>
    <w:p w:rsidR="0044261E" w:rsidRDefault="001D333C">
      <w:pPr>
        <w:tabs>
          <w:tab w:val="center" w:pos="3865"/>
        </w:tabs>
        <w:spacing w:after="275" w:line="259" w:lineRule="auto"/>
        <w:ind w:left="0" w:firstLine="0"/>
        <w:jc w:val="left"/>
      </w:pPr>
      <w:r>
        <w:rPr>
          <w:b/>
          <w:color w:val="453C6C"/>
          <w:sz w:val="32"/>
        </w:rPr>
        <w:t>6.</w:t>
      </w:r>
      <w:r>
        <w:rPr>
          <w:b/>
          <w:color w:val="453C6C"/>
          <w:sz w:val="32"/>
        </w:rPr>
        <w:tab/>
        <w:t xml:space="preserve">RELATION FINANCIÈRE UNADEV / PRESTATAIRE </w:t>
      </w:r>
    </w:p>
    <w:p w:rsidR="0044261E" w:rsidRDefault="001D333C">
      <w:pPr>
        <w:pStyle w:val="Titre2"/>
        <w:tabs>
          <w:tab w:val="center" w:pos="2522"/>
        </w:tabs>
        <w:ind w:left="-15" w:firstLine="0"/>
      </w:pPr>
      <w:r>
        <w:t>6.1.</w:t>
      </w:r>
      <w:r>
        <w:tab/>
        <w:t xml:space="preserve">Processus de facturation </w:t>
      </w:r>
    </w:p>
    <w:p w:rsidR="0044261E" w:rsidRDefault="001D333C">
      <w:pPr>
        <w:ind w:left="346"/>
      </w:pPr>
      <w:r>
        <w:t xml:space="preserve">Le processus de facturation des prestataires est le suivant : </w:t>
      </w:r>
    </w:p>
    <w:p w:rsidR="00DC44BC" w:rsidRDefault="00DC44BC">
      <w:pPr>
        <w:ind w:left="346"/>
      </w:pPr>
    </w:p>
    <w:p w:rsidR="0044261E" w:rsidRDefault="001D333C">
      <w:pPr>
        <w:numPr>
          <w:ilvl w:val="0"/>
          <w:numId w:val="7"/>
        </w:numPr>
        <w:ind w:left="1071" w:hanging="360"/>
      </w:pPr>
      <w:r>
        <w:t>L’U</w:t>
      </w:r>
      <w:r w:rsidR="00DC44BC">
        <w:t>nadev</w:t>
      </w:r>
      <w:r>
        <w:t xml:space="preserve"> délivre une prise en charge à son bénéficiaire, une copie</w:t>
      </w:r>
      <w:r w:rsidR="0016685F">
        <w:t xml:space="preserve"> </w:t>
      </w:r>
      <w:r w:rsidR="00DC44BC">
        <w:t xml:space="preserve">en </w:t>
      </w:r>
      <w:r w:rsidR="0016685F">
        <w:t xml:space="preserve">est délivrée aux prestataires </w:t>
      </w:r>
    </w:p>
    <w:p w:rsidR="0044261E" w:rsidRDefault="001D333C">
      <w:pPr>
        <w:numPr>
          <w:ilvl w:val="0"/>
          <w:numId w:val="7"/>
        </w:numPr>
        <w:ind w:left="1071" w:hanging="360"/>
      </w:pPr>
      <w:r>
        <w:t xml:space="preserve">Le prestataire met en place son contrat de prestation(s) ou son </w:t>
      </w:r>
      <w:r w:rsidR="00DC44BC">
        <w:t>avenant vers le bénéficiaire</w:t>
      </w:r>
      <w:r>
        <w:t xml:space="preserve"> </w:t>
      </w:r>
    </w:p>
    <w:p w:rsidR="0044261E" w:rsidRDefault="001D333C">
      <w:pPr>
        <w:numPr>
          <w:ilvl w:val="0"/>
          <w:numId w:val="7"/>
        </w:numPr>
        <w:spacing w:after="345"/>
        <w:ind w:left="1071" w:hanging="360"/>
      </w:pPr>
      <w:r>
        <w:t>Le prestataire facture l’U</w:t>
      </w:r>
      <w:r w:rsidR="00DC44BC">
        <w:t>nadev</w:t>
      </w:r>
      <w:r>
        <w:t xml:space="preserve"> conformément à la prise en charge. </w:t>
      </w:r>
    </w:p>
    <w:p w:rsidR="0044261E" w:rsidRDefault="001D333C">
      <w:pPr>
        <w:pStyle w:val="Titre2"/>
        <w:tabs>
          <w:tab w:val="center" w:pos="2532"/>
        </w:tabs>
        <w:ind w:left="-15" w:firstLine="0"/>
      </w:pPr>
      <w:r>
        <w:t>6.2.</w:t>
      </w:r>
      <w:r>
        <w:tab/>
        <w:t xml:space="preserve">Modalités de facturation </w:t>
      </w:r>
    </w:p>
    <w:p w:rsidR="0044261E" w:rsidRDefault="001D333C">
      <w:pPr>
        <w:ind w:left="346"/>
      </w:pPr>
      <w:r>
        <w:t>Quelle que soit la prestation, l’adresse de facturation sera celle de l’U</w:t>
      </w:r>
      <w:r w:rsidR="00DC44BC">
        <w:t>nadev au DNAAD 12 Rue de Cursol 33000 Bordeaux</w:t>
      </w:r>
      <w:r>
        <w:t xml:space="preserve">. </w:t>
      </w:r>
    </w:p>
    <w:p w:rsidR="0044261E" w:rsidRDefault="001D333C">
      <w:pPr>
        <w:spacing w:after="55" w:line="259" w:lineRule="auto"/>
        <w:ind w:left="351" w:firstLine="0"/>
        <w:jc w:val="left"/>
      </w:pPr>
      <w:r>
        <w:t xml:space="preserve"> </w:t>
      </w:r>
    </w:p>
    <w:p w:rsidR="0044261E" w:rsidRDefault="001D333C">
      <w:pPr>
        <w:spacing w:line="377" w:lineRule="auto"/>
        <w:ind w:left="346"/>
      </w:pPr>
      <w:r>
        <w:t xml:space="preserve">Le prestataire présentera </w:t>
      </w:r>
      <w:r>
        <w:rPr>
          <w:u w:val="single" w:color="000000"/>
        </w:rPr>
        <w:t>une​ facture</w:t>
      </w:r>
      <w:r>
        <w:t xml:space="preserve"> par mois à l’U</w:t>
      </w:r>
      <w:r w:rsidR="00DC44BC">
        <w:t>nadev</w:t>
      </w:r>
      <w:r>
        <w:t xml:space="preserve"> pour l’ensemble des bénéficiaires sous forme d’un bordereau. </w:t>
      </w:r>
    </w:p>
    <w:p w:rsidR="0016685F" w:rsidRDefault="0016685F">
      <w:pPr>
        <w:ind w:left="346"/>
      </w:pPr>
    </w:p>
    <w:p w:rsidR="0044261E" w:rsidRPr="0016685F" w:rsidRDefault="00562EB0">
      <w:pPr>
        <w:ind w:left="346"/>
      </w:pPr>
      <w:r w:rsidRPr="0016685F">
        <w:t xml:space="preserve">Cette facture </w:t>
      </w:r>
      <w:r w:rsidR="001D333C" w:rsidRPr="0016685F">
        <w:t xml:space="preserve">devra comprendre : </w:t>
      </w:r>
    </w:p>
    <w:p w:rsidR="0044261E" w:rsidRPr="0016685F" w:rsidRDefault="001D333C">
      <w:pPr>
        <w:numPr>
          <w:ilvl w:val="0"/>
          <w:numId w:val="8"/>
        </w:numPr>
        <w:ind w:left="1071" w:hanging="360"/>
      </w:pPr>
      <w:r w:rsidRPr="0016685F">
        <w:t>n° identification U</w:t>
      </w:r>
      <w:r w:rsidR="00DC44BC">
        <w:t>nadev</w:t>
      </w:r>
      <w:r w:rsidRPr="0016685F">
        <w:t xml:space="preserve"> du bénéficiaire ;  </w:t>
      </w:r>
    </w:p>
    <w:p w:rsidR="0044261E" w:rsidRPr="0016685F" w:rsidRDefault="001D333C">
      <w:pPr>
        <w:numPr>
          <w:ilvl w:val="0"/>
          <w:numId w:val="8"/>
        </w:numPr>
        <w:spacing w:after="25"/>
        <w:ind w:left="1071" w:hanging="360"/>
      </w:pPr>
      <w:r w:rsidRPr="0016685F">
        <w:t xml:space="preserve">Nom / Prénom ; </w:t>
      </w:r>
    </w:p>
    <w:p w:rsidR="0044261E" w:rsidRPr="0016685F" w:rsidRDefault="001D333C">
      <w:pPr>
        <w:numPr>
          <w:ilvl w:val="0"/>
          <w:numId w:val="8"/>
        </w:numPr>
        <w:spacing w:after="49"/>
        <w:ind w:left="1071" w:hanging="360"/>
      </w:pPr>
      <w:r w:rsidRPr="0016685F">
        <w:t xml:space="preserve">Désignation de la prestation ; </w:t>
      </w:r>
    </w:p>
    <w:p w:rsidR="0044261E" w:rsidRDefault="001D333C">
      <w:pPr>
        <w:numPr>
          <w:ilvl w:val="0"/>
          <w:numId w:val="8"/>
        </w:numPr>
        <w:spacing w:line="390" w:lineRule="auto"/>
        <w:ind w:left="1071" w:hanging="360"/>
      </w:pPr>
      <w:r w:rsidRPr="0016685F">
        <w:t>Date des interventions, nombre d’heures, taux horaire (€/h), res</w:t>
      </w:r>
      <w:r w:rsidR="0016685F">
        <w:t>te à charge (en €)</w:t>
      </w:r>
    </w:p>
    <w:p w:rsidR="0016685F" w:rsidRDefault="0016685F" w:rsidP="0016685F">
      <w:pPr>
        <w:spacing w:line="390" w:lineRule="auto"/>
      </w:pPr>
      <w:r>
        <w:t>Si le logiciel de facturation utilisé par le prestataire ne permet pas d’afficher les éléments ci-dessus, le prestataire s’engage à fournir un relevé d’heures mensuel, manuel ou via la télégestion, afin de permettre des contrôles d’effectivité et de quantifier le nombre d’heures financées par l’UNADEV.</w:t>
      </w:r>
    </w:p>
    <w:p w:rsidR="0044261E" w:rsidRDefault="001D333C">
      <w:pPr>
        <w:ind w:left="346"/>
      </w:pPr>
      <w:r>
        <w:t>Pour rappel, l’U</w:t>
      </w:r>
      <w:r w:rsidR="00DC44BC">
        <w:t>nadev</w:t>
      </w:r>
      <w:r>
        <w:t xml:space="preserve"> n’est pas assujettie à la TVA. </w:t>
      </w:r>
    </w:p>
    <w:p w:rsidR="0044261E" w:rsidRDefault="001D333C">
      <w:pPr>
        <w:spacing w:after="0" w:line="259" w:lineRule="auto"/>
        <w:ind w:left="351" w:firstLine="0"/>
        <w:jc w:val="left"/>
      </w:pPr>
      <w:r>
        <w:t xml:space="preserve"> </w:t>
      </w:r>
    </w:p>
    <w:p w:rsidR="0044261E" w:rsidRDefault="001D333C">
      <w:pPr>
        <w:ind w:left="346"/>
      </w:pPr>
      <w:r>
        <w:t xml:space="preserve">En cas de régularisation sur mois antérieur, il établira une facture de régularisation par mois presté. </w:t>
      </w:r>
    </w:p>
    <w:p w:rsidR="0044261E" w:rsidRDefault="001D333C">
      <w:pPr>
        <w:spacing w:after="14" w:line="259" w:lineRule="auto"/>
        <w:ind w:left="351" w:firstLine="0"/>
        <w:jc w:val="left"/>
      </w:pPr>
      <w:r>
        <w:t xml:space="preserve"> </w:t>
      </w:r>
    </w:p>
    <w:p w:rsidR="0044261E" w:rsidRDefault="001D333C">
      <w:pPr>
        <w:ind w:left="346"/>
      </w:pPr>
      <w:r>
        <w:t xml:space="preserve">A concurrence de la conformité de la facture, le délai de paiement de l’UNADEV sera au plus tard de 60 jours à réception de facture. </w:t>
      </w:r>
    </w:p>
    <w:p w:rsidR="0044261E" w:rsidRDefault="001D333C">
      <w:pPr>
        <w:spacing w:after="55" w:line="259" w:lineRule="auto"/>
        <w:ind w:left="351" w:firstLine="0"/>
        <w:jc w:val="left"/>
      </w:pPr>
      <w:r>
        <w:t xml:space="preserve"> </w:t>
      </w:r>
    </w:p>
    <w:p w:rsidR="0044261E" w:rsidRDefault="0016685F">
      <w:pPr>
        <w:spacing w:after="185" w:line="394" w:lineRule="auto"/>
        <w:ind w:left="346"/>
      </w:pPr>
      <w:r>
        <w:t>L</w:t>
      </w:r>
      <w:r w:rsidR="001D333C">
        <w:t>’UNADEV se réserve</w:t>
      </w:r>
      <w:r w:rsidR="00DC44BC">
        <w:t xml:space="preserve"> le droit de faire un contrôle des heures effectuées et facturées, soit par la réception d’un relevé d’heures mensuel soit via la télégestion.</w:t>
      </w:r>
      <w:r w:rsidR="001D333C">
        <w:t xml:space="preserve"> </w:t>
      </w:r>
    </w:p>
    <w:p w:rsidR="0044261E" w:rsidRDefault="001D333C">
      <w:pPr>
        <w:pStyle w:val="Titre1"/>
        <w:tabs>
          <w:tab w:val="center" w:pos="2801"/>
        </w:tabs>
        <w:ind w:left="0" w:firstLine="0"/>
      </w:pPr>
      <w:r>
        <w:t>7.</w:t>
      </w:r>
      <w:r>
        <w:tab/>
        <w:t xml:space="preserve">OBLIGATIONS DU PRESTATAIRE </w:t>
      </w:r>
    </w:p>
    <w:p w:rsidR="0044261E" w:rsidRDefault="001D333C">
      <w:pPr>
        <w:ind w:left="346"/>
      </w:pPr>
      <w:r>
        <w:t>En répondant à l’appel à candidatures, le prestataire s’engage formellement dans la réussite de l’exécution de la prestation telle qu’il l’a décrite dans sa réponse</w:t>
      </w:r>
      <w:r w:rsidR="00DC44BC">
        <w:t xml:space="preserve"> à cet appel à candidature,</w:t>
      </w:r>
      <w:r>
        <w:t xml:space="preserve"> durant toute la période de labellisation, et ceci dans le respect de ce cahier des charges. </w:t>
      </w:r>
    </w:p>
    <w:p w:rsidR="0044261E" w:rsidRDefault="001D333C">
      <w:pPr>
        <w:spacing w:after="14" w:line="259" w:lineRule="auto"/>
        <w:ind w:left="351" w:firstLine="0"/>
        <w:jc w:val="left"/>
      </w:pPr>
      <w:r>
        <w:t xml:space="preserve"> </w:t>
      </w:r>
    </w:p>
    <w:p w:rsidR="0044261E" w:rsidRDefault="001D333C">
      <w:pPr>
        <w:ind w:left="346"/>
      </w:pPr>
      <w:r>
        <w:t>Le prestataire s’engage également à sensibiliser l’ensemble de son personnel à la déficience visuelle. En cas de besoin, l’U</w:t>
      </w:r>
      <w:r w:rsidR="00DC44BC">
        <w:t xml:space="preserve">nadev </w:t>
      </w:r>
      <w:r>
        <w:t xml:space="preserve">pourra orienter le prestataire dans sa démarche. </w:t>
      </w:r>
    </w:p>
    <w:p w:rsidR="0044261E" w:rsidRDefault="001D333C">
      <w:pPr>
        <w:spacing w:after="14" w:line="259" w:lineRule="auto"/>
        <w:ind w:left="351" w:firstLine="0"/>
        <w:jc w:val="left"/>
      </w:pPr>
      <w:r>
        <w:t xml:space="preserve"> </w:t>
      </w:r>
    </w:p>
    <w:p w:rsidR="0044261E" w:rsidRDefault="001D333C">
      <w:pPr>
        <w:ind w:left="346"/>
      </w:pPr>
      <w:r>
        <w:t xml:space="preserve">Le prestataire s’engage dans une communication professionnelle dans le respect des bénéficiaires. </w:t>
      </w:r>
    </w:p>
    <w:p w:rsidR="0044261E" w:rsidRDefault="001D333C">
      <w:pPr>
        <w:spacing w:after="14" w:line="259" w:lineRule="auto"/>
        <w:ind w:left="351" w:firstLine="0"/>
        <w:jc w:val="left"/>
      </w:pPr>
      <w:r>
        <w:t xml:space="preserve"> </w:t>
      </w:r>
    </w:p>
    <w:p w:rsidR="0044261E" w:rsidRDefault="001D333C">
      <w:pPr>
        <w:spacing w:after="342"/>
        <w:ind w:left="346"/>
      </w:pPr>
      <w:r>
        <w:t>Le prestataire s’engage à informer l’U</w:t>
      </w:r>
      <w:r w:rsidR="00D908DA">
        <w:t>nadev</w:t>
      </w:r>
      <w:r>
        <w:t xml:space="preserve"> sous 15 jours de la perte de ses autorisations et à informer également les bénéficiaires de l’arrêt immédiat de la prise en charge de l’U</w:t>
      </w:r>
      <w:r w:rsidR="00D908DA">
        <w:t>nadev</w:t>
      </w:r>
      <w:r>
        <w:t xml:space="preserve">. </w:t>
      </w:r>
    </w:p>
    <w:p w:rsidR="0044261E" w:rsidRDefault="001D333C">
      <w:pPr>
        <w:pStyle w:val="Titre1"/>
        <w:tabs>
          <w:tab w:val="center" w:pos="2571"/>
        </w:tabs>
        <w:ind w:left="0" w:firstLine="0"/>
      </w:pPr>
      <w:r>
        <w:t>8.</w:t>
      </w:r>
      <w:r>
        <w:tab/>
        <w:t>OBLIGATIONS DE L’U</w:t>
      </w:r>
      <w:r w:rsidR="00D908DA">
        <w:t>NADEV</w:t>
      </w:r>
      <w:r>
        <w:t xml:space="preserve"> </w:t>
      </w:r>
    </w:p>
    <w:p w:rsidR="0016685F" w:rsidRPr="0016685F" w:rsidRDefault="0016685F" w:rsidP="0016685F"/>
    <w:p w:rsidR="0044261E" w:rsidRDefault="001D333C">
      <w:pPr>
        <w:ind w:left="346"/>
      </w:pPr>
      <w:r>
        <w:t>L’U</w:t>
      </w:r>
      <w:r w:rsidR="00D908DA">
        <w:t xml:space="preserve">nadev </w:t>
      </w:r>
      <w:r>
        <w:t xml:space="preserve">s’engage à ne pas diffuser aux autres candidats les </w:t>
      </w:r>
      <w:r w:rsidR="00D908DA">
        <w:t xml:space="preserve">demandes de candidatures effectuées </w:t>
      </w:r>
      <w:r>
        <w:t xml:space="preserve"> par chacun d’eux. L’U</w:t>
      </w:r>
      <w:r w:rsidR="00D908DA">
        <w:t>nadev</w:t>
      </w:r>
      <w:r>
        <w:t xml:space="preserve"> se réserve le droit de négocier, d’accepter ou de rejeter toute </w:t>
      </w:r>
      <w:r>
        <w:lastRenderedPageBreak/>
        <w:t>candidature à son entière discrétion et de poursuivre le dialogue pour toute réponse qu’il considère comme intéressante. L’U</w:t>
      </w:r>
      <w:r w:rsidR="00D908DA">
        <w:t>nadev</w:t>
      </w:r>
      <w:r>
        <w:t xml:space="preserve"> s’engage à communiquer avec le prestataire, et à lui transmettre les éléments le concernant aussi souvent que nécessaire. </w:t>
      </w:r>
    </w:p>
    <w:p w:rsidR="0016685F" w:rsidRDefault="0016685F">
      <w:pPr>
        <w:ind w:left="346"/>
      </w:pPr>
    </w:p>
    <w:p w:rsidR="0044261E" w:rsidRDefault="001D333C" w:rsidP="0016685F">
      <w:pPr>
        <w:spacing w:after="330" w:line="259" w:lineRule="auto"/>
        <w:ind w:left="351" w:firstLine="0"/>
        <w:jc w:val="left"/>
      </w:pPr>
      <w:r>
        <w:t xml:space="preserve"> </w:t>
      </w:r>
      <w:r>
        <w:rPr>
          <w:sz w:val="28"/>
        </w:rPr>
        <w:t>9.</w:t>
      </w:r>
      <w:r w:rsidRPr="00D908DA">
        <w:rPr>
          <w:b/>
          <w:color w:val="453C6C"/>
          <w:sz w:val="32"/>
        </w:rPr>
        <w:tab/>
        <w:t xml:space="preserve"> GENERALITES CONCERNANT L’APPEL À CANDIDATURES</w:t>
      </w:r>
      <w:r>
        <w:t xml:space="preserve"> </w:t>
      </w:r>
    </w:p>
    <w:p w:rsidR="0044261E" w:rsidRDefault="001D333C">
      <w:pPr>
        <w:pStyle w:val="Titre2"/>
        <w:tabs>
          <w:tab w:val="center" w:pos="1870"/>
        </w:tabs>
        <w:ind w:left="0" w:firstLine="0"/>
      </w:pPr>
      <w:r>
        <w:rPr>
          <w:color w:val="000000"/>
          <w:sz w:val="24"/>
        </w:rPr>
        <w:t>9.1.</w:t>
      </w:r>
      <w:r>
        <w:rPr>
          <w:color w:val="000000"/>
          <w:sz w:val="24"/>
        </w:rPr>
        <w:tab/>
      </w:r>
      <w:r>
        <w:t xml:space="preserve">Responsabilité </w:t>
      </w:r>
    </w:p>
    <w:p w:rsidR="0044261E" w:rsidRDefault="001D333C">
      <w:pPr>
        <w:ind w:left="346"/>
      </w:pPr>
      <w:r>
        <w:t>Le prestataire respectera les engagements qu’il aura pris avec l’U</w:t>
      </w:r>
      <w:r w:rsidR="00D908DA">
        <w:t>nadev</w:t>
      </w:r>
      <w:r>
        <w:t xml:space="preserve">. En particulier, il veillera, à ses propres frais, que ses performances soient en conformité avec ce qu’il a annoncé dans son dossier de candidature. </w:t>
      </w:r>
    </w:p>
    <w:p w:rsidR="0044261E" w:rsidRDefault="001D333C">
      <w:pPr>
        <w:spacing w:after="14" w:line="259" w:lineRule="auto"/>
        <w:ind w:left="351" w:firstLine="0"/>
        <w:jc w:val="left"/>
      </w:pPr>
      <w:r>
        <w:t xml:space="preserve"> </w:t>
      </w:r>
    </w:p>
    <w:p w:rsidR="0044261E" w:rsidRDefault="001D333C">
      <w:pPr>
        <w:ind w:left="346"/>
      </w:pPr>
      <w:r>
        <w:t xml:space="preserve">Le prestataire reconnaît en particulier : </w:t>
      </w:r>
    </w:p>
    <w:p w:rsidR="0044261E" w:rsidRDefault="001D333C">
      <w:pPr>
        <w:numPr>
          <w:ilvl w:val="0"/>
          <w:numId w:val="9"/>
        </w:numPr>
        <w:ind w:left="1071" w:hanging="360"/>
      </w:pPr>
      <w:r>
        <w:t xml:space="preserve">Qu’il a examiné attentivement le présent cahier des charges ; </w:t>
      </w:r>
    </w:p>
    <w:p w:rsidR="0044261E" w:rsidRDefault="001D333C">
      <w:pPr>
        <w:numPr>
          <w:ilvl w:val="0"/>
          <w:numId w:val="9"/>
        </w:numPr>
        <w:ind w:left="1071" w:hanging="360"/>
      </w:pPr>
      <w:r>
        <w:t xml:space="preserve">Qu’il a obtenu suffisamment d’information pour pouvoir parfaitement évaluer ses risques et obligations ; </w:t>
      </w:r>
    </w:p>
    <w:p w:rsidR="0044261E" w:rsidRDefault="001D333C">
      <w:pPr>
        <w:numPr>
          <w:ilvl w:val="0"/>
          <w:numId w:val="9"/>
        </w:numPr>
        <w:spacing w:after="128"/>
        <w:ind w:left="1071" w:hanging="360"/>
      </w:pPr>
      <w:r>
        <w:t xml:space="preserve">Qu’il est en mesure de pouvoir répondre au présent cahier des charges. </w:t>
      </w:r>
    </w:p>
    <w:p w:rsidR="0044261E" w:rsidRDefault="001D333C">
      <w:pPr>
        <w:spacing w:after="330"/>
        <w:ind w:left="346"/>
      </w:pPr>
      <w:r>
        <w:t xml:space="preserve">Dans l’éventualité où certaines différences subsisteraient, le prestataire s’engage à le mentionner dans son dossier de candidature. </w:t>
      </w:r>
    </w:p>
    <w:p w:rsidR="0044261E" w:rsidRDefault="001D333C">
      <w:pPr>
        <w:pStyle w:val="Titre2"/>
        <w:tabs>
          <w:tab w:val="center" w:pos="1883"/>
        </w:tabs>
        <w:ind w:left="0" w:firstLine="0"/>
      </w:pPr>
      <w:r>
        <w:rPr>
          <w:color w:val="000000"/>
          <w:sz w:val="24"/>
        </w:rPr>
        <w:t>9.2.</w:t>
      </w:r>
      <w:r>
        <w:rPr>
          <w:color w:val="000000"/>
          <w:sz w:val="24"/>
        </w:rPr>
        <w:tab/>
      </w:r>
      <w:r>
        <w:t xml:space="preserve">Confidentialité </w:t>
      </w:r>
    </w:p>
    <w:p w:rsidR="0044261E" w:rsidRDefault="001D333C">
      <w:pPr>
        <w:spacing w:after="332"/>
        <w:ind w:left="346"/>
      </w:pPr>
      <w:r>
        <w:t xml:space="preserve">Le présent cahier des charges est communiqué au prestataire à titre confidentiel et ne peut en aucun cas être diffuser à un tiers. </w:t>
      </w:r>
    </w:p>
    <w:p w:rsidR="0044261E" w:rsidRDefault="001D333C">
      <w:pPr>
        <w:pStyle w:val="Titre2"/>
        <w:tabs>
          <w:tab w:val="center" w:pos="1662"/>
        </w:tabs>
        <w:ind w:left="0" w:firstLine="0"/>
      </w:pPr>
      <w:r>
        <w:rPr>
          <w:color w:val="000000"/>
          <w:sz w:val="24"/>
        </w:rPr>
        <w:t>9.3.</w:t>
      </w:r>
      <w:r>
        <w:rPr>
          <w:color w:val="000000"/>
          <w:sz w:val="24"/>
        </w:rPr>
        <w:tab/>
      </w:r>
      <w:r>
        <w:t xml:space="preserve">Conformité </w:t>
      </w:r>
    </w:p>
    <w:p w:rsidR="0044261E" w:rsidRDefault="00D908DA">
      <w:pPr>
        <w:spacing w:after="325"/>
        <w:ind w:left="346"/>
      </w:pPr>
      <w:r>
        <w:t>L</w:t>
      </w:r>
      <w:r w:rsidR="001D333C">
        <w:t>es p</w:t>
      </w:r>
      <w:r>
        <w:t>restataires doivent répondre à l’intégralité des</w:t>
      </w:r>
      <w:r w:rsidR="001D333C">
        <w:t xml:space="preserve"> points du présent cahier des charges. Toutes informations complémentaires ou solutions alternatives pourront</w:t>
      </w:r>
      <w:r>
        <w:t xml:space="preserve"> être</w:t>
      </w:r>
      <w:r w:rsidR="001D333C">
        <w:t xml:space="preserve"> étudiées avec attention. </w:t>
      </w:r>
    </w:p>
    <w:p w:rsidR="0044261E" w:rsidRDefault="001D333C">
      <w:pPr>
        <w:pStyle w:val="Titre2"/>
        <w:tabs>
          <w:tab w:val="center" w:pos="3526"/>
        </w:tabs>
        <w:ind w:left="0" w:firstLine="0"/>
      </w:pPr>
      <w:r>
        <w:rPr>
          <w:color w:val="000000"/>
          <w:sz w:val="24"/>
        </w:rPr>
        <w:t>9.4.</w:t>
      </w:r>
      <w:r>
        <w:rPr>
          <w:color w:val="000000"/>
          <w:sz w:val="24"/>
        </w:rPr>
        <w:tab/>
      </w:r>
      <w:r>
        <w:t xml:space="preserve">Indemnisation de l’appel à candidatures </w:t>
      </w:r>
    </w:p>
    <w:p w:rsidR="0044261E" w:rsidRDefault="001D333C">
      <w:pPr>
        <w:spacing w:after="326"/>
        <w:ind w:left="346"/>
      </w:pPr>
      <w:r>
        <w:t xml:space="preserve">Cet appel à candidatures ne pourra donner lieu à aucune rétribution financière. </w:t>
      </w:r>
    </w:p>
    <w:p w:rsidR="0044261E" w:rsidRDefault="001D333C">
      <w:pPr>
        <w:pStyle w:val="Titre2"/>
        <w:tabs>
          <w:tab w:val="center" w:pos="4856"/>
        </w:tabs>
        <w:spacing w:after="134"/>
        <w:ind w:left="0" w:firstLine="0"/>
      </w:pPr>
      <w:r>
        <w:rPr>
          <w:color w:val="000000"/>
          <w:sz w:val="24"/>
        </w:rPr>
        <w:t>9.5.</w:t>
      </w:r>
      <w:r>
        <w:rPr>
          <w:color w:val="000000"/>
          <w:sz w:val="24"/>
        </w:rPr>
        <w:tab/>
      </w:r>
      <w:r>
        <w:t xml:space="preserve">Dépôt des dossiers de candidatures et choix des prestataires </w:t>
      </w:r>
    </w:p>
    <w:p w:rsidR="0044261E" w:rsidRDefault="001D333C">
      <w:pPr>
        <w:pStyle w:val="Titre3"/>
        <w:ind w:left="1067"/>
      </w:pPr>
      <w:r>
        <w:t xml:space="preserve">9.5.1 Procédure d’évaluation des offres </w:t>
      </w:r>
    </w:p>
    <w:p w:rsidR="0044261E" w:rsidRDefault="001D333C">
      <w:pPr>
        <w:spacing w:after="201"/>
        <w:ind w:left="346"/>
      </w:pPr>
      <w:r>
        <w:t>Dans le planning présenté en §2., en tenant compte des critères de décision (voir §3.3.,) et de l’intégralité des documents fournis par le prestataire, c’est le Comité de Labellisation de l’U</w:t>
      </w:r>
      <w:r w:rsidR="00D908DA">
        <w:t>nadev</w:t>
      </w:r>
      <w:r>
        <w:t xml:space="preserve"> qui statuera, prendra décision et communiquera en retour vers le prestataire de sa labellisation ou non. </w:t>
      </w:r>
    </w:p>
    <w:p w:rsidR="0044261E" w:rsidRDefault="001D333C">
      <w:pPr>
        <w:pStyle w:val="Titre3"/>
        <w:ind w:left="1067"/>
      </w:pPr>
      <w:r>
        <w:lastRenderedPageBreak/>
        <w:t xml:space="preserve">9.5.2 </w:t>
      </w:r>
      <w:r w:rsidR="00D908DA">
        <w:t>Candidature refusée</w:t>
      </w:r>
      <w:r>
        <w:t xml:space="preserve"> </w:t>
      </w:r>
    </w:p>
    <w:p w:rsidR="0044261E" w:rsidRDefault="001D333C">
      <w:pPr>
        <w:spacing w:after="201"/>
        <w:ind w:left="346"/>
      </w:pPr>
      <w:r>
        <w:t>L’U</w:t>
      </w:r>
      <w:r w:rsidR="00D908DA">
        <w:t>nadev</w:t>
      </w:r>
      <w:r>
        <w:t xml:space="preserve"> se réserve le droit de refuser une candidature ou toute autre proposition sans qu’il ait besoin de fournir une quelconque explication. </w:t>
      </w:r>
    </w:p>
    <w:p w:rsidR="0044261E" w:rsidRDefault="001D333C">
      <w:pPr>
        <w:pStyle w:val="Titre3"/>
        <w:ind w:left="1067"/>
      </w:pPr>
      <w:r>
        <w:t xml:space="preserve">9.5.3 Remise des dossiers de candidatures </w:t>
      </w:r>
    </w:p>
    <w:p w:rsidR="0044261E" w:rsidRDefault="001D333C">
      <w:pPr>
        <w:ind w:left="346"/>
      </w:pPr>
      <w:r>
        <w:t>La date de clôture de l’appel à candidatures figure en page de</w:t>
      </w:r>
      <w:r w:rsidR="00D908DA">
        <w:t xml:space="preserve"> garde de ce cahier des charges. Pour rappel, elle est définie au 25 Septembre 2023</w:t>
      </w:r>
      <w:r>
        <w:t xml:space="preserve">: elle correspond à la date limite de réception par l’UNADEV à l’adresse ci-après. </w:t>
      </w:r>
    </w:p>
    <w:p w:rsidR="0044261E" w:rsidRDefault="001D333C">
      <w:pPr>
        <w:spacing w:after="55" w:line="259" w:lineRule="auto"/>
        <w:ind w:left="351" w:firstLine="0"/>
        <w:jc w:val="left"/>
      </w:pPr>
      <w:r>
        <w:t xml:space="preserve"> </w:t>
      </w:r>
    </w:p>
    <w:p w:rsidR="0044261E" w:rsidRDefault="00D908DA">
      <w:pPr>
        <w:tabs>
          <w:tab w:val="center" w:pos="3895"/>
          <w:tab w:val="center" w:pos="7583"/>
        </w:tabs>
        <w:spacing w:after="154"/>
        <w:ind w:left="0" w:firstLine="0"/>
        <w:jc w:val="left"/>
      </w:pPr>
      <w:r>
        <w:rPr>
          <w:sz w:val="22"/>
        </w:rPr>
        <w:t xml:space="preserve">      </w:t>
      </w:r>
      <w:r w:rsidR="001D333C">
        <w:t xml:space="preserve">Les dossiers de candidatures sont à faire parvenir </w:t>
      </w:r>
      <w:r w:rsidR="001D333C" w:rsidRPr="0016685F">
        <w:t>par ma</w:t>
      </w:r>
      <w:r w:rsidR="0016685F">
        <w:t xml:space="preserve">il​ </w:t>
      </w:r>
      <w:r w:rsidR="001D333C">
        <w:t>à</w:t>
      </w:r>
      <w:r>
        <w:t xml:space="preserve"> : ​</w:t>
      </w:r>
      <w:r w:rsidR="001D333C">
        <w:t xml:space="preserve"> </w:t>
      </w:r>
    </w:p>
    <w:p w:rsidR="00D908DA" w:rsidRPr="0014621A" w:rsidRDefault="0014621A" w:rsidP="00D908DA">
      <w:pPr>
        <w:tabs>
          <w:tab w:val="center" w:pos="3338"/>
          <w:tab w:val="center" w:pos="5099"/>
        </w:tabs>
        <w:ind w:left="0" w:firstLine="0"/>
        <w:jc w:val="left"/>
        <w:rPr>
          <w:szCs w:val="24"/>
        </w:rPr>
      </w:pPr>
      <w:r>
        <w:rPr>
          <w:sz w:val="22"/>
        </w:rPr>
        <w:t xml:space="preserve">      </w:t>
      </w:r>
      <w:r w:rsidR="001D333C" w:rsidRPr="0014621A">
        <w:rPr>
          <w:szCs w:val="24"/>
        </w:rPr>
        <w:t xml:space="preserve">label.qualite@unadev.com  </w:t>
      </w:r>
      <w:r w:rsidR="001D333C" w:rsidRPr="0014621A">
        <w:rPr>
          <w:color w:val="1F497D"/>
          <w:szCs w:val="24"/>
        </w:rPr>
        <w:t xml:space="preserve"> </w:t>
      </w:r>
      <w:r w:rsidR="001D333C" w:rsidRPr="0014621A">
        <w:rPr>
          <w:szCs w:val="24"/>
        </w:rPr>
        <w:t xml:space="preserve"> </w:t>
      </w:r>
    </w:p>
    <w:p w:rsidR="0044261E" w:rsidRDefault="001D333C" w:rsidP="00D908DA">
      <w:pPr>
        <w:tabs>
          <w:tab w:val="center" w:pos="3338"/>
          <w:tab w:val="center" w:pos="5099"/>
        </w:tabs>
        <w:ind w:left="0" w:firstLine="0"/>
        <w:jc w:val="left"/>
      </w:pPr>
      <w:r>
        <w:t xml:space="preserve"> </w:t>
      </w:r>
    </w:p>
    <w:p w:rsidR="0044261E" w:rsidRDefault="001D333C">
      <w:pPr>
        <w:pStyle w:val="Titre2"/>
        <w:tabs>
          <w:tab w:val="center" w:pos="1577"/>
        </w:tabs>
        <w:ind w:left="0" w:firstLine="0"/>
      </w:pPr>
      <w:r>
        <w:rPr>
          <w:color w:val="000000"/>
          <w:sz w:val="24"/>
        </w:rPr>
        <w:t>9</w:t>
      </w:r>
      <w:r w:rsidR="00D908DA">
        <w:rPr>
          <w:color w:val="000000"/>
          <w:sz w:val="24"/>
        </w:rPr>
        <w:t>.6</w:t>
      </w:r>
      <w:r>
        <w:rPr>
          <w:color w:val="000000"/>
          <w:sz w:val="24"/>
        </w:rPr>
        <w:tab/>
      </w:r>
      <w:r>
        <w:t xml:space="preserve">Questions </w:t>
      </w:r>
    </w:p>
    <w:p w:rsidR="0044261E" w:rsidRDefault="001D333C">
      <w:pPr>
        <w:ind w:left="346"/>
      </w:pPr>
      <w:r>
        <w:t xml:space="preserve">Toutes les questions concernant ce cahier des charges doivent être posées directement par écrit à l’adresse </w:t>
      </w:r>
      <w:r w:rsidR="0014621A" w:rsidRPr="0014621A">
        <w:t>label.qualite@unadev.com</w:t>
      </w:r>
      <w:r w:rsidR="0014621A">
        <w:t xml:space="preserve"> avant le 22 Septembre 2023.</w:t>
      </w:r>
      <w:r>
        <w:t xml:space="preserve"> </w:t>
      </w:r>
    </w:p>
    <w:sectPr w:rsidR="0044261E">
      <w:headerReference w:type="even" r:id="rId15"/>
      <w:headerReference w:type="default" r:id="rId16"/>
      <w:footerReference w:type="even" r:id="rId17"/>
      <w:footerReference w:type="default" r:id="rId18"/>
      <w:headerReference w:type="first" r:id="rId19"/>
      <w:footerReference w:type="first" r:id="rId20"/>
      <w:pgSz w:w="11920" w:h="16860"/>
      <w:pgMar w:top="1426" w:right="1000" w:bottom="657" w:left="9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00" w:rsidRDefault="00420F00">
      <w:pPr>
        <w:spacing w:after="0" w:line="240" w:lineRule="auto"/>
      </w:pPr>
      <w:r>
        <w:separator/>
      </w:r>
    </w:p>
  </w:endnote>
  <w:endnote w:type="continuationSeparator" w:id="0">
    <w:p w:rsidR="00420F00" w:rsidRDefault="0042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1D333C">
    <w:pPr>
      <w:spacing w:after="0" w:line="259" w:lineRule="auto"/>
      <w:ind w:left="351"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743574</wp:posOffset>
              </wp:positionH>
              <wp:positionV relativeFrom="page">
                <wp:posOffset>10276571</wp:posOffset>
              </wp:positionV>
              <wp:extent cx="6177382" cy="9533"/>
              <wp:effectExtent l="0" t="0" r="0" b="0"/>
              <wp:wrapSquare wrapText="bothSides"/>
              <wp:docPr id="20809" name="Group 20809"/>
              <wp:cNvGraphicFramePr/>
              <a:graphic xmlns:a="http://schemas.openxmlformats.org/drawingml/2006/main">
                <a:graphicData uri="http://schemas.microsoft.com/office/word/2010/wordprocessingGroup">
                  <wpg:wgp>
                    <wpg:cNvGrpSpPr/>
                    <wpg:grpSpPr>
                      <a:xfrm>
                        <a:off x="0" y="0"/>
                        <a:ext cx="6177382" cy="9533"/>
                        <a:chOff x="0" y="0"/>
                        <a:chExt cx="6177382" cy="9533"/>
                      </a:xfrm>
                    </wpg:grpSpPr>
                    <wps:wsp>
                      <wps:cNvPr id="21680" name="Shape 21680"/>
                      <wps:cNvSpPr/>
                      <wps:spPr>
                        <a:xfrm>
                          <a:off x="4118255" y="0"/>
                          <a:ext cx="2059127" cy="9533"/>
                        </a:xfrm>
                        <a:custGeom>
                          <a:avLst/>
                          <a:gdLst/>
                          <a:ahLst/>
                          <a:cxnLst/>
                          <a:rect l="0" t="0" r="0" b="0"/>
                          <a:pathLst>
                            <a:path w="2059127" h="9533">
                              <a:moveTo>
                                <a:pt x="0" y="0"/>
                              </a:moveTo>
                              <a:lnTo>
                                <a:pt x="2059127" y="0"/>
                              </a:lnTo>
                              <a:lnTo>
                                <a:pt x="2059127"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1681" name="Shape 21681"/>
                      <wps:cNvSpPr/>
                      <wps:spPr>
                        <a:xfrm>
                          <a:off x="2059127" y="0"/>
                          <a:ext cx="2059128" cy="9533"/>
                        </a:xfrm>
                        <a:custGeom>
                          <a:avLst/>
                          <a:gdLst/>
                          <a:ahLst/>
                          <a:cxnLst/>
                          <a:rect l="0" t="0" r="0" b="0"/>
                          <a:pathLst>
                            <a:path w="2059128" h="9533">
                              <a:moveTo>
                                <a:pt x="0" y="0"/>
                              </a:moveTo>
                              <a:lnTo>
                                <a:pt x="2059128" y="0"/>
                              </a:lnTo>
                              <a:lnTo>
                                <a:pt x="2059128"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1682" name="Shape 21682"/>
                      <wps:cNvSpPr/>
                      <wps:spPr>
                        <a:xfrm>
                          <a:off x="0" y="0"/>
                          <a:ext cx="2059127" cy="9533"/>
                        </a:xfrm>
                        <a:custGeom>
                          <a:avLst/>
                          <a:gdLst/>
                          <a:ahLst/>
                          <a:cxnLst/>
                          <a:rect l="0" t="0" r="0" b="0"/>
                          <a:pathLst>
                            <a:path w="2059127" h="9533">
                              <a:moveTo>
                                <a:pt x="0" y="0"/>
                              </a:moveTo>
                              <a:lnTo>
                                <a:pt x="2059127" y="0"/>
                              </a:lnTo>
                              <a:lnTo>
                                <a:pt x="2059127"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20809" style="width:486.408pt;height:0.75061pt;position:absolute;mso-position-horizontal-relative:page;mso-position-horizontal:absolute;margin-left:58.5491pt;mso-position-vertical-relative:page;margin-top:809.179pt;" coordsize="61773,95">
              <v:shape id="Shape 21683" style="position:absolute;width:20591;height:95;left:41182;top:0;" coordsize="2059127,9533" path="m0,0l2059127,0l2059127,9533l0,9533l0,0">
                <v:stroke weight="0pt" endcap="flat" joinstyle="miter" miterlimit="10" on="false" color="#000000" opacity="0"/>
                <v:fill on="true" color="#7e7e7e"/>
              </v:shape>
              <v:shape id="Shape 21684" style="position:absolute;width:20591;height:95;left:20591;top:0;" coordsize="2059128,9533" path="m0,0l2059128,0l2059128,9533l0,9533l0,0">
                <v:stroke weight="0pt" endcap="flat" joinstyle="miter" miterlimit="10" on="false" color="#000000" opacity="0"/>
                <v:fill on="true" color="#7e7e7e"/>
              </v:shape>
              <v:shape id="Shape 21685" style="position:absolute;width:20591;height:95;left:0;top:0;" coordsize="2059127,9533" path="m0,0l2059127,0l2059127,9533l0,9533l0,0">
                <v:stroke weight="0pt" endcap="flat" joinstyle="miter" miterlimit="10" on="false" color="#000000" opacity="0"/>
                <v:fill on="true" color="#7e7e7e"/>
              </v:shape>
              <w10:wrap type="square"/>
            </v:group>
          </w:pict>
        </mc:Fallback>
      </mc:AlternateContent>
    </w:r>
    <w:r>
      <w:rPr>
        <w:sz w:val="30"/>
      </w:rPr>
      <w:t xml:space="preserve"> </w:t>
    </w:r>
  </w:p>
  <w:p w:rsidR="0044261E" w:rsidRDefault="001D333C">
    <w:pPr>
      <w:tabs>
        <w:tab w:val="center" w:pos="1719"/>
        <w:tab w:val="center" w:pos="5104"/>
        <w:tab w:val="right" w:pos="9994"/>
      </w:tabs>
      <w:spacing w:after="14" w:line="259" w:lineRule="auto"/>
      <w:ind w:left="0" w:firstLine="0"/>
      <w:jc w:val="left"/>
    </w:pPr>
    <w:r>
      <w:rPr>
        <w:sz w:val="22"/>
      </w:rPr>
      <w:tab/>
    </w:r>
    <w:r>
      <w:t xml:space="preserve">Cahier des Charges simplifié </w:t>
    </w:r>
    <w:r>
      <w:tab/>
    </w:r>
    <w:r>
      <w:rPr>
        <w:i/>
      </w:rPr>
      <w:t xml:space="preserve">Labellisation «  UNADEV » </w:t>
    </w:r>
    <w:r>
      <w:rPr>
        <w:i/>
      </w:rPr>
      <w:tab/>
    </w:r>
    <w:r>
      <w:t xml:space="preserve">Page </w:t>
    </w:r>
    <w:r>
      <w:fldChar w:fldCharType="begin"/>
    </w:r>
    <w:r>
      <w:instrText xml:space="preserve"> PAGE   \* MERGEFORMAT </w:instrText>
    </w:r>
    <w:r>
      <w:fldChar w:fldCharType="separate"/>
    </w:r>
    <w:r>
      <w:t>2</w:t>
    </w:r>
    <w:r>
      <w:fldChar w:fldCharType="end"/>
    </w:r>
    <w:r>
      <w:t xml:space="preserve"> sur </w:t>
    </w:r>
    <w:fldSimple w:instr=" NUMPAGES   \* MERGEFORMAT ">
      <w:r>
        <w:t>10</w:t>
      </w:r>
    </w:fldSimple>
    <w:r>
      <w:t xml:space="preserve"> </w:t>
    </w:r>
  </w:p>
  <w:p w:rsidR="0044261E" w:rsidRDefault="001D333C">
    <w:pPr>
      <w:spacing w:after="0" w:line="259" w:lineRule="auto"/>
      <w:ind w:left="35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1D333C">
    <w:pPr>
      <w:spacing w:after="0" w:line="259" w:lineRule="auto"/>
      <w:ind w:left="351"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743574</wp:posOffset>
              </wp:positionH>
              <wp:positionV relativeFrom="page">
                <wp:posOffset>10276571</wp:posOffset>
              </wp:positionV>
              <wp:extent cx="6177382" cy="9533"/>
              <wp:effectExtent l="0" t="0" r="0" b="0"/>
              <wp:wrapSquare wrapText="bothSides"/>
              <wp:docPr id="20775" name="Group 20775"/>
              <wp:cNvGraphicFramePr/>
              <a:graphic xmlns:a="http://schemas.openxmlformats.org/drawingml/2006/main">
                <a:graphicData uri="http://schemas.microsoft.com/office/word/2010/wordprocessingGroup">
                  <wpg:wgp>
                    <wpg:cNvGrpSpPr/>
                    <wpg:grpSpPr>
                      <a:xfrm>
                        <a:off x="0" y="0"/>
                        <a:ext cx="6177382" cy="9533"/>
                        <a:chOff x="0" y="0"/>
                        <a:chExt cx="6177382" cy="9533"/>
                      </a:xfrm>
                    </wpg:grpSpPr>
                    <wps:wsp>
                      <wps:cNvPr id="21674" name="Shape 21674"/>
                      <wps:cNvSpPr/>
                      <wps:spPr>
                        <a:xfrm>
                          <a:off x="4118255" y="0"/>
                          <a:ext cx="2059127" cy="9533"/>
                        </a:xfrm>
                        <a:custGeom>
                          <a:avLst/>
                          <a:gdLst/>
                          <a:ahLst/>
                          <a:cxnLst/>
                          <a:rect l="0" t="0" r="0" b="0"/>
                          <a:pathLst>
                            <a:path w="2059127" h="9533">
                              <a:moveTo>
                                <a:pt x="0" y="0"/>
                              </a:moveTo>
                              <a:lnTo>
                                <a:pt x="2059127" y="0"/>
                              </a:lnTo>
                              <a:lnTo>
                                <a:pt x="2059127"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1675" name="Shape 21675"/>
                      <wps:cNvSpPr/>
                      <wps:spPr>
                        <a:xfrm>
                          <a:off x="2059127" y="0"/>
                          <a:ext cx="2059128" cy="9533"/>
                        </a:xfrm>
                        <a:custGeom>
                          <a:avLst/>
                          <a:gdLst/>
                          <a:ahLst/>
                          <a:cxnLst/>
                          <a:rect l="0" t="0" r="0" b="0"/>
                          <a:pathLst>
                            <a:path w="2059128" h="9533">
                              <a:moveTo>
                                <a:pt x="0" y="0"/>
                              </a:moveTo>
                              <a:lnTo>
                                <a:pt x="2059128" y="0"/>
                              </a:lnTo>
                              <a:lnTo>
                                <a:pt x="2059128"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s:wsp>
                      <wps:cNvPr id="21676" name="Shape 21676"/>
                      <wps:cNvSpPr/>
                      <wps:spPr>
                        <a:xfrm>
                          <a:off x="0" y="0"/>
                          <a:ext cx="2059127" cy="9533"/>
                        </a:xfrm>
                        <a:custGeom>
                          <a:avLst/>
                          <a:gdLst/>
                          <a:ahLst/>
                          <a:cxnLst/>
                          <a:rect l="0" t="0" r="0" b="0"/>
                          <a:pathLst>
                            <a:path w="2059127" h="9533">
                              <a:moveTo>
                                <a:pt x="0" y="0"/>
                              </a:moveTo>
                              <a:lnTo>
                                <a:pt x="2059127" y="0"/>
                              </a:lnTo>
                              <a:lnTo>
                                <a:pt x="2059127" y="9533"/>
                              </a:lnTo>
                              <a:lnTo>
                                <a:pt x="0" y="9533"/>
                              </a:lnTo>
                              <a:lnTo>
                                <a:pt x="0" y="0"/>
                              </a:lnTo>
                            </a:path>
                          </a:pathLst>
                        </a:custGeom>
                        <a:ln w="0" cap="flat">
                          <a:miter lim="127000"/>
                        </a:ln>
                      </wps:spPr>
                      <wps:style>
                        <a:lnRef idx="0">
                          <a:srgbClr val="000000">
                            <a:alpha val="0"/>
                          </a:srgbClr>
                        </a:lnRef>
                        <a:fillRef idx="1">
                          <a:srgbClr val="7E7E7E"/>
                        </a:fillRef>
                        <a:effectRef idx="0">
                          <a:scrgbClr r="0" g="0" b="0"/>
                        </a:effectRef>
                        <a:fontRef idx="none"/>
                      </wps:style>
                      <wps:bodyPr/>
                    </wps:wsp>
                  </wpg:wgp>
                </a:graphicData>
              </a:graphic>
            </wp:anchor>
          </w:drawing>
        </mc:Choice>
        <mc:Fallback xmlns:a="http://schemas.openxmlformats.org/drawingml/2006/main">
          <w:pict>
            <v:group id="Group 20775" style="width:486.408pt;height:0.75061pt;position:absolute;mso-position-horizontal-relative:page;mso-position-horizontal:absolute;margin-left:58.5491pt;mso-position-vertical-relative:page;margin-top:809.179pt;" coordsize="61773,95">
              <v:shape id="Shape 21677" style="position:absolute;width:20591;height:95;left:41182;top:0;" coordsize="2059127,9533" path="m0,0l2059127,0l2059127,9533l0,9533l0,0">
                <v:stroke weight="0pt" endcap="flat" joinstyle="miter" miterlimit="10" on="false" color="#000000" opacity="0"/>
                <v:fill on="true" color="#7e7e7e"/>
              </v:shape>
              <v:shape id="Shape 21678" style="position:absolute;width:20591;height:95;left:20591;top:0;" coordsize="2059128,9533" path="m0,0l2059128,0l2059128,9533l0,9533l0,0">
                <v:stroke weight="0pt" endcap="flat" joinstyle="miter" miterlimit="10" on="false" color="#000000" opacity="0"/>
                <v:fill on="true" color="#7e7e7e"/>
              </v:shape>
              <v:shape id="Shape 21679" style="position:absolute;width:20591;height:95;left:0;top:0;" coordsize="2059127,9533" path="m0,0l2059127,0l2059127,9533l0,9533l0,0">
                <v:stroke weight="0pt" endcap="flat" joinstyle="miter" miterlimit="10" on="false" color="#000000" opacity="0"/>
                <v:fill on="true" color="#7e7e7e"/>
              </v:shape>
              <w10:wrap type="square"/>
            </v:group>
          </w:pict>
        </mc:Fallback>
      </mc:AlternateContent>
    </w:r>
    <w:r>
      <w:rPr>
        <w:sz w:val="30"/>
      </w:rPr>
      <w:t xml:space="preserve"> </w:t>
    </w:r>
  </w:p>
  <w:p w:rsidR="0044261E" w:rsidRDefault="001D333C">
    <w:pPr>
      <w:tabs>
        <w:tab w:val="center" w:pos="1719"/>
        <w:tab w:val="center" w:pos="5104"/>
        <w:tab w:val="right" w:pos="9994"/>
      </w:tabs>
      <w:spacing w:after="14" w:line="259" w:lineRule="auto"/>
      <w:ind w:left="0" w:firstLine="0"/>
      <w:jc w:val="left"/>
    </w:pPr>
    <w:r>
      <w:rPr>
        <w:sz w:val="22"/>
      </w:rPr>
      <w:tab/>
    </w:r>
    <w:r>
      <w:t xml:space="preserve">Cahier des Charges </w:t>
    </w:r>
    <w:r w:rsidR="00D303F8">
      <w:t>2024-2027</w:t>
    </w:r>
    <w:r>
      <w:tab/>
    </w:r>
    <w:r>
      <w:rPr>
        <w:i/>
      </w:rPr>
      <w:t>Labellisation «  U</w:t>
    </w:r>
    <w:r w:rsidR="00D303F8">
      <w:rPr>
        <w:i/>
      </w:rPr>
      <w:t>nadev</w:t>
    </w:r>
    <w:r>
      <w:rPr>
        <w:i/>
      </w:rPr>
      <w:t xml:space="preserve"> » </w:t>
    </w:r>
    <w:r>
      <w:rPr>
        <w:i/>
      </w:rPr>
      <w:tab/>
    </w:r>
    <w:r>
      <w:t xml:space="preserve">Page </w:t>
    </w:r>
    <w:r>
      <w:fldChar w:fldCharType="begin"/>
    </w:r>
    <w:r>
      <w:instrText xml:space="preserve"> PAGE   \* MERGEFORMAT </w:instrText>
    </w:r>
    <w:r>
      <w:fldChar w:fldCharType="separate"/>
    </w:r>
    <w:r w:rsidR="0014621A">
      <w:rPr>
        <w:noProof/>
      </w:rPr>
      <w:t>9</w:t>
    </w:r>
    <w:r>
      <w:fldChar w:fldCharType="end"/>
    </w:r>
    <w:r>
      <w:t xml:space="preserve"> sur </w:t>
    </w:r>
    <w:fldSimple w:instr=" NUMPAGES   \* MERGEFORMAT ">
      <w:r w:rsidR="0014621A">
        <w:rPr>
          <w:noProof/>
        </w:rPr>
        <w:t>9</w:t>
      </w:r>
    </w:fldSimple>
    <w:r>
      <w:t xml:space="preserve"> </w:t>
    </w:r>
  </w:p>
  <w:p w:rsidR="0044261E" w:rsidRDefault="001D333C">
    <w:pPr>
      <w:spacing w:after="0" w:line="259" w:lineRule="auto"/>
      <w:ind w:left="35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44261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00" w:rsidRDefault="00420F00">
      <w:pPr>
        <w:spacing w:after="0" w:line="240" w:lineRule="auto"/>
      </w:pPr>
      <w:r>
        <w:separator/>
      </w:r>
    </w:p>
  </w:footnote>
  <w:footnote w:type="continuationSeparator" w:id="0">
    <w:p w:rsidR="00420F00" w:rsidRDefault="0042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1D333C">
    <w:pPr>
      <w:spacing w:after="0" w:line="259" w:lineRule="auto"/>
      <w:ind w:left="-926" w:right="1092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810305</wp:posOffset>
              </wp:positionH>
              <wp:positionV relativeFrom="page">
                <wp:posOffset>171594</wp:posOffset>
              </wp:positionV>
              <wp:extent cx="6129718" cy="676843"/>
              <wp:effectExtent l="0" t="0" r="0" b="0"/>
              <wp:wrapSquare wrapText="bothSides"/>
              <wp:docPr id="20799" name="Group 20799"/>
              <wp:cNvGraphicFramePr/>
              <a:graphic xmlns:a="http://schemas.openxmlformats.org/drawingml/2006/main">
                <a:graphicData uri="http://schemas.microsoft.com/office/word/2010/wordprocessingGroup">
                  <wpg:wgp>
                    <wpg:cNvGrpSpPr/>
                    <wpg:grpSpPr>
                      <a:xfrm>
                        <a:off x="0" y="0"/>
                        <a:ext cx="6129718" cy="676843"/>
                        <a:chOff x="0" y="0"/>
                        <a:chExt cx="6129718" cy="676843"/>
                      </a:xfrm>
                    </wpg:grpSpPr>
                    <wps:wsp>
                      <wps:cNvPr id="21672" name="Shape 21672"/>
                      <wps:cNvSpPr/>
                      <wps:spPr>
                        <a:xfrm>
                          <a:off x="0" y="667309"/>
                          <a:ext cx="6129718" cy="9534"/>
                        </a:xfrm>
                        <a:custGeom>
                          <a:avLst/>
                          <a:gdLst/>
                          <a:ahLst/>
                          <a:cxnLst/>
                          <a:rect l="0" t="0" r="0" b="0"/>
                          <a:pathLst>
                            <a:path w="6129718" h="9534">
                              <a:moveTo>
                                <a:pt x="0" y="0"/>
                              </a:moveTo>
                              <a:lnTo>
                                <a:pt x="6129718" y="0"/>
                              </a:lnTo>
                              <a:lnTo>
                                <a:pt x="6129718" y="9534"/>
                              </a:lnTo>
                              <a:lnTo>
                                <a:pt x="0" y="953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0802" name="Rectangle 20802"/>
                      <wps:cNvSpPr/>
                      <wps:spPr>
                        <a:xfrm>
                          <a:off x="5768060" y="448051"/>
                          <a:ext cx="57328" cy="258283"/>
                        </a:xfrm>
                        <a:prstGeom prst="rect">
                          <a:avLst/>
                        </a:prstGeom>
                        <a:ln>
                          <a:noFill/>
                        </a:ln>
                      </wps:spPr>
                      <wps:txbx>
                        <w:txbxContent>
                          <w:p w:rsidR="0044261E" w:rsidRDefault="001D333C">
                            <w:pPr>
                              <w:spacing w:after="160" w:line="259" w:lineRule="auto"/>
                              <w:ind w:left="0" w:firstLine="0"/>
                              <w:jc w:val="left"/>
                            </w:pPr>
                            <w:r>
                              <w:rPr>
                                <w:sz w:val="30"/>
                              </w:rPr>
                              <w:t xml:space="preserve"> </w:t>
                            </w:r>
                          </w:p>
                        </w:txbxContent>
                      </wps:txbx>
                      <wps:bodyPr horzOverflow="overflow" vert="horz" lIns="0" tIns="0" rIns="0" bIns="0" rtlCol="0">
                        <a:noAutofit/>
                      </wps:bodyPr>
                    </wps:wsp>
                    <pic:pic xmlns:pic="http://schemas.openxmlformats.org/drawingml/2006/picture">
                      <pic:nvPicPr>
                        <pic:cNvPr id="20801" name="Picture 20801"/>
                        <pic:cNvPicPr/>
                      </pic:nvPicPr>
                      <pic:blipFill>
                        <a:blip r:embed="rId1"/>
                        <a:stretch>
                          <a:fillRect/>
                        </a:stretch>
                      </pic:blipFill>
                      <pic:spPr>
                        <a:xfrm>
                          <a:off x="19066" y="0"/>
                          <a:ext cx="581513" cy="591046"/>
                        </a:xfrm>
                        <a:prstGeom prst="rect">
                          <a:avLst/>
                        </a:prstGeom>
                      </pic:spPr>
                    </pic:pic>
                  </wpg:wgp>
                </a:graphicData>
              </a:graphic>
            </wp:anchor>
          </w:drawing>
        </mc:Choice>
        <mc:Fallback xmlns:a="http://schemas.openxmlformats.org/drawingml/2006/main">
          <w:pict>
            <v:group id="Group 20799" style="width:482.655pt;height:53.2947pt;position:absolute;mso-position-horizontal-relative:page;mso-position-horizontal:absolute;margin-left:63.8035pt;mso-position-vertical-relative:page;margin-top:13.5114pt;" coordsize="61297,6768">
              <v:shape id="Shape 21673" style="position:absolute;width:61297;height:95;left:0;top:6673;" coordsize="6129718,9534" path="m0,0l6129718,0l6129718,9534l0,9534l0,0">
                <v:stroke weight="0pt" endcap="flat" joinstyle="miter" miterlimit="10" on="false" color="#000000" opacity="0"/>
                <v:fill on="true" color="#a6a6a6"/>
              </v:shape>
              <v:rect id="Rectangle 20802" style="position:absolute;width:573;height:2582;left:57680;top:4480;" filled="f" stroked="f">
                <v:textbox inset="0,0,0,0">
                  <w:txbxContent>
                    <w:p>
                      <w:pPr>
                        <w:spacing w:before="0" w:after="160" w:line="259" w:lineRule="auto"/>
                        <w:ind w:left="0" w:right="0" w:firstLine="0"/>
                        <w:jc w:val="left"/>
                      </w:pPr>
                      <w:r>
                        <w:rPr>
                          <w:sz w:val="30"/>
                        </w:rPr>
                        <w:t xml:space="preserve"> </w:t>
                      </w:r>
                    </w:p>
                  </w:txbxContent>
                </v:textbox>
              </v:rect>
              <v:shape id="Picture 20801" style="position:absolute;width:5815;height:5910;left:19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202A46">
    <w:pPr>
      <w:spacing w:after="0" w:line="259" w:lineRule="auto"/>
      <w:ind w:left="-926" w:right="10920" w:firstLine="0"/>
      <w:jc w:val="left"/>
    </w:pPr>
    <w:r w:rsidRPr="00202A46">
      <w:rPr>
        <w:noProof/>
      </w:rPr>
      <w:drawing>
        <wp:inline distT="0" distB="0" distL="0" distR="0">
          <wp:extent cx="2033873" cy="766437"/>
          <wp:effectExtent l="0" t="0" r="5080" b="0"/>
          <wp:docPr id="1" name="Image 1" descr="Z:\--- DOCUMENTATION ---\--- DOCUMENTS GENERAUX ---\Direction de la Communication\Communication\Logos UNADEV\UNADEV-Logo-BLEU-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 DOCUMENTATION ---\--- DOCUMENTS GENERAUX ---\Direction de la Communication\Communication\Logos UNADEV\UNADEV-Logo-BLEU-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597" cy="7934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61E" w:rsidRDefault="0044261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D75"/>
    <w:multiLevelType w:val="hybridMultilevel"/>
    <w:tmpl w:val="058AE95C"/>
    <w:lvl w:ilvl="0" w:tplc="F362A936">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8063E">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FEF130">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36AB2A">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A6F64">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4EAB68">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68E8EA">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5AD3AE">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65F78">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B00D8"/>
    <w:multiLevelType w:val="hybridMultilevel"/>
    <w:tmpl w:val="1CC4D818"/>
    <w:lvl w:ilvl="0" w:tplc="A1AA5DA2">
      <w:start w:val="1"/>
      <w:numFmt w:val="bullet"/>
      <w:lvlText w:val="●"/>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679C2">
      <w:start w:val="1"/>
      <w:numFmt w:val="bullet"/>
      <w:lvlText w:val="o"/>
      <w:lvlJc w:val="left"/>
      <w:pPr>
        <w:ind w:left="1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252C478">
      <w:start w:val="1"/>
      <w:numFmt w:val="bullet"/>
      <w:lvlText w:val="▪"/>
      <w:lvlJc w:val="left"/>
      <w:pPr>
        <w:ind w:left="25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40AA68">
      <w:start w:val="1"/>
      <w:numFmt w:val="bullet"/>
      <w:lvlText w:val="•"/>
      <w:lvlJc w:val="left"/>
      <w:pPr>
        <w:ind w:left="32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5E020F6">
      <w:start w:val="1"/>
      <w:numFmt w:val="bullet"/>
      <w:lvlText w:val="o"/>
      <w:lvlJc w:val="left"/>
      <w:pPr>
        <w:ind w:left="39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ED056A4">
      <w:start w:val="1"/>
      <w:numFmt w:val="bullet"/>
      <w:lvlText w:val="▪"/>
      <w:lvlJc w:val="left"/>
      <w:pPr>
        <w:ind w:left="46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566152A">
      <w:start w:val="1"/>
      <w:numFmt w:val="bullet"/>
      <w:lvlText w:val="•"/>
      <w:lvlJc w:val="left"/>
      <w:pPr>
        <w:ind w:left="53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DC5E1A">
      <w:start w:val="1"/>
      <w:numFmt w:val="bullet"/>
      <w:lvlText w:val="o"/>
      <w:lvlJc w:val="left"/>
      <w:pPr>
        <w:ind w:left="61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CBE9718">
      <w:start w:val="1"/>
      <w:numFmt w:val="bullet"/>
      <w:lvlText w:val="▪"/>
      <w:lvlJc w:val="left"/>
      <w:pPr>
        <w:ind w:left="68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F6598D"/>
    <w:multiLevelType w:val="hybridMultilevel"/>
    <w:tmpl w:val="7BB09D3C"/>
    <w:lvl w:ilvl="0" w:tplc="94E81474">
      <w:start w:val="1"/>
      <w:numFmt w:val="bullet"/>
      <w:lvlText w:val="●"/>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B09B1A">
      <w:start w:val="1"/>
      <w:numFmt w:val="bullet"/>
      <w:lvlText w:val="o"/>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4DF90">
      <w:start w:val="1"/>
      <w:numFmt w:val="bullet"/>
      <w:lvlText w:val="▪"/>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729804">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D0C7C8">
      <w:start w:val="1"/>
      <w:numFmt w:val="bullet"/>
      <w:lvlText w:val="o"/>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B85A3C">
      <w:start w:val="1"/>
      <w:numFmt w:val="bullet"/>
      <w:lvlText w:val="▪"/>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4BAC0">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C832C2">
      <w:start w:val="1"/>
      <w:numFmt w:val="bullet"/>
      <w:lvlText w:val="o"/>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EEE850">
      <w:start w:val="1"/>
      <w:numFmt w:val="bullet"/>
      <w:lvlText w:val="▪"/>
      <w:lvlJc w:val="left"/>
      <w:pPr>
        <w:ind w:left="6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9648E5"/>
    <w:multiLevelType w:val="hybridMultilevel"/>
    <w:tmpl w:val="70DE92C0"/>
    <w:lvl w:ilvl="0" w:tplc="56880368">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AEA882">
      <w:start w:val="1"/>
      <w:numFmt w:val="bullet"/>
      <w:lvlText w:val="o"/>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EC319A">
      <w:start w:val="1"/>
      <w:numFmt w:val="bullet"/>
      <w:lvlText w:val="▪"/>
      <w:lvlJc w:val="left"/>
      <w:pPr>
        <w:ind w:left="2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0E9014">
      <w:start w:val="1"/>
      <w:numFmt w:val="bullet"/>
      <w:lvlText w:val="•"/>
      <w:lvlJc w:val="left"/>
      <w:pPr>
        <w:ind w:left="3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E85DC">
      <w:start w:val="1"/>
      <w:numFmt w:val="bullet"/>
      <w:lvlText w:val="o"/>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3CD348">
      <w:start w:val="1"/>
      <w:numFmt w:val="bullet"/>
      <w:lvlText w:val="▪"/>
      <w:lvlJc w:val="left"/>
      <w:pPr>
        <w:ind w:left="4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D283B6">
      <w:start w:val="1"/>
      <w:numFmt w:val="bullet"/>
      <w:lvlText w:val="•"/>
      <w:lvlJc w:val="left"/>
      <w:pPr>
        <w:ind w:left="5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4E1C6">
      <w:start w:val="1"/>
      <w:numFmt w:val="bullet"/>
      <w:lvlText w:val="o"/>
      <w:lvlJc w:val="left"/>
      <w:pPr>
        <w:ind w:left="6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FCB3FA">
      <w:start w:val="1"/>
      <w:numFmt w:val="bullet"/>
      <w:lvlText w:val="▪"/>
      <w:lvlJc w:val="left"/>
      <w:pPr>
        <w:ind w:left="6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422094"/>
    <w:multiLevelType w:val="hybridMultilevel"/>
    <w:tmpl w:val="1B862D64"/>
    <w:lvl w:ilvl="0" w:tplc="DE82A3B6">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762756">
      <w:start w:val="1"/>
      <w:numFmt w:val="bullet"/>
      <w:lvlText w:val="o"/>
      <w:lvlJc w:val="left"/>
      <w:pPr>
        <w:ind w:left="1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A204E8">
      <w:start w:val="1"/>
      <w:numFmt w:val="bullet"/>
      <w:lvlText w:val="▪"/>
      <w:lvlJc w:val="left"/>
      <w:pPr>
        <w:ind w:left="2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D87806">
      <w:start w:val="1"/>
      <w:numFmt w:val="bullet"/>
      <w:lvlText w:val="•"/>
      <w:lvlJc w:val="left"/>
      <w:pPr>
        <w:ind w:left="3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43B82">
      <w:start w:val="1"/>
      <w:numFmt w:val="bullet"/>
      <w:lvlText w:val="o"/>
      <w:lvlJc w:val="left"/>
      <w:pPr>
        <w:ind w:left="3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1C9992">
      <w:start w:val="1"/>
      <w:numFmt w:val="bullet"/>
      <w:lvlText w:val="▪"/>
      <w:lvlJc w:val="left"/>
      <w:pPr>
        <w:ind w:left="4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4415E4">
      <w:start w:val="1"/>
      <w:numFmt w:val="bullet"/>
      <w:lvlText w:val="•"/>
      <w:lvlJc w:val="left"/>
      <w:pPr>
        <w:ind w:left="5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067EEC">
      <w:start w:val="1"/>
      <w:numFmt w:val="bullet"/>
      <w:lvlText w:val="o"/>
      <w:lvlJc w:val="left"/>
      <w:pPr>
        <w:ind w:left="5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9C1190">
      <w:start w:val="1"/>
      <w:numFmt w:val="bullet"/>
      <w:lvlText w:val="▪"/>
      <w:lvlJc w:val="left"/>
      <w:pPr>
        <w:ind w:left="6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DE46F3"/>
    <w:multiLevelType w:val="hybridMultilevel"/>
    <w:tmpl w:val="4A7ABBD0"/>
    <w:lvl w:ilvl="0" w:tplc="B1B03858">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3CE1E6">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6C1FBA">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00E76A">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6073FE">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4886F0">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D662C6">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6738E">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845D6C">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D04A21"/>
    <w:multiLevelType w:val="multilevel"/>
    <w:tmpl w:val="4D7E4652"/>
    <w:lvl w:ilvl="0">
      <w:start w:val="1"/>
      <w:numFmt w:val="decimal"/>
      <w:lvlText w:val="%1."/>
      <w:lvlJc w:val="left"/>
      <w:pPr>
        <w:ind w:left="435"/>
      </w:pPr>
      <w:rPr>
        <w:rFonts w:ascii="Calibri" w:eastAsia="Calibri" w:hAnsi="Calibri" w:cs="Calibri"/>
        <w:b w:val="0"/>
        <w:i w:val="0"/>
        <w:strike w:val="0"/>
        <w:dstrike w:val="0"/>
        <w:color w:val="453C6C"/>
        <w:sz w:val="32"/>
        <w:szCs w:val="32"/>
        <w:u w:val="none" w:color="000000"/>
        <w:bdr w:val="none" w:sz="0" w:space="0" w:color="auto"/>
        <w:shd w:val="clear" w:color="auto" w:fill="auto"/>
        <w:vertAlign w:val="baseline"/>
      </w:rPr>
    </w:lvl>
    <w:lvl w:ilvl="1">
      <w:start w:val="1"/>
      <w:numFmt w:val="decimal"/>
      <w:lvlText w:val="%1.%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36749"/>
    <w:multiLevelType w:val="hybridMultilevel"/>
    <w:tmpl w:val="3CC01B02"/>
    <w:lvl w:ilvl="0" w:tplc="CACCA478">
      <w:start w:val="1"/>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002FBE"/>
    <w:multiLevelType w:val="hybridMultilevel"/>
    <w:tmpl w:val="79E02B04"/>
    <w:lvl w:ilvl="0" w:tplc="A696414E">
      <w:start w:val="1"/>
      <w:numFmt w:val="bullet"/>
      <w:lvlText w:val="●"/>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F895DC">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58CEB6">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A2549A">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46AD6">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F298FA">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C24A0C">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0B93A">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841E22">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3E54DF"/>
    <w:multiLevelType w:val="hybridMultilevel"/>
    <w:tmpl w:val="4C1401D8"/>
    <w:lvl w:ilvl="0" w:tplc="39FA9FE8">
      <w:start w:val="1"/>
      <w:numFmt w:val="decimal"/>
      <w:lvlText w:val="%1."/>
      <w:lvlJc w:val="left"/>
      <w:pPr>
        <w:ind w:left="1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2609D2">
      <w:start w:val="1"/>
      <w:numFmt w:val="lowerLetter"/>
      <w:lvlText w:val="%2"/>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EC32CC">
      <w:start w:val="1"/>
      <w:numFmt w:val="lowerRoman"/>
      <w:lvlText w:val="%3"/>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AE0E6">
      <w:start w:val="1"/>
      <w:numFmt w:val="decimal"/>
      <w:lvlText w:val="%4"/>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743BE8">
      <w:start w:val="1"/>
      <w:numFmt w:val="lowerLetter"/>
      <w:lvlText w:val="%5"/>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92B84C">
      <w:start w:val="1"/>
      <w:numFmt w:val="lowerRoman"/>
      <w:lvlText w:val="%6"/>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635B8">
      <w:start w:val="1"/>
      <w:numFmt w:val="decimal"/>
      <w:lvlText w:val="%7"/>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D6E5EE">
      <w:start w:val="1"/>
      <w:numFmt w:val="lowerLetter"/>
      <w:lvlText w:val="%8"/>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2D7AA">
      <w:start w:val="1"/>
      <w:numFmt w:val="lowerRoman"/>
      <w:lvlText w:val="%9"/>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9"/>
  </w:num>
  <w:num w:numId="5">
    <w:abstractNumId w:val="1"/>
  </w:num>
  <w:num w:numId="6">
    <w:abstractNumId w:val="0"/>
  </w:num>
  <w:num w:numId="7">
    <w:abstractNumId w:val="8"/>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1E"/>
    <w:rsid w:val="0014621A"/>
    <w:rsid w:val="0016685F"/>
    <w:rsid w:val="00185EF9"/>
    <w:rsid w:val="001B1BF9"/>
    <w:rsid w:val="001D333C"/>
    <w:rsid w:val="00202A46"/>
    <w:rsid w:val="00420F00"/>
    <w:rsid w:val="0044261E"/>
    <w:rsid w:val="004D604C"/>
    <w:rsid w:val="00562EB0"/>
    <w:rsid w:val="00776742"/>
    <w:rsid w:val="00A87A2A"/>
    <w:rsid w:val="00B244A8"/>
    <w:rsid w:val="00BC6B84"/>
    <w:rsid w:val="00C9543C"/>
    <w:rsid w:val="00D16723"/>
    <w:rsid w:val="00D303F8"/>
    <w:rsid w:val="00D908DA"/>
    <w:rsid w:val="00DC44BC"/>
    <w:rsid w:val="00E53EE5"/>
    <w:rsid w:val="00E70BB0"/>
    <w:rsid w:val="00E84326"/>
    <w:rsid w:val="00EE0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C407"/>
  <w15:docId w15:val="{321489C8-4334-455A-8A65-B5E1E27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5" w:lineRule="auto"/>
      <w:ind w:left="361"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58"/>
      <w:ind w:left="113" w:hanging="10"/>
      <w:outlineLvl w:val="0"/>
    </w:pPr>
    <w:rPr>
      <w:rFonts w:ascii="Calibri" w:eastAsia="Calibri" w:hAnsi="Calibri" w:cs="Calibri"/>
      <w:b/>
      <w:color w:val="453C6C"/>
      <w:sz w:val="32"/>
    </w:rPr>
  </w:style>
  <w:style w:type="paragraph" w:styleId="Titre2">
    <w:name w:val="heading 2"/>
    <w:next w:val="Normal"/>
    <w:link w:val="Titre2Car"/>
    <w:uiPriority w:val="9"/>
    <w:unhideWhenUsed/>
    <w:qFormat/>
    <w:pPr>
      <w:keepNext/>
      <w:keepLines/>
      <w:spacing w:after="60"/>
      <w:ind w:left="10" w:hanging="10"/>
      <w:outlineLvl w:val="1"/>
    </w:pPr>
    <w:rPr>
      <w:rFonts w:ascii="Calibri" w:eastAsia="Calibri" w:hAnsi="Calibri" w:cs="Calibri"/>
      <w:color w:val="453C6C"/>
      <w:sz w:val="32"/>
    </w:rPr>
  </w:style>
  <w:style w:type="paragraph" w:styleId="Titre3">
    <w:name w:val="heading 3"/>
    <w:next w:val="Normal"/>
    <w:link w:val="Titre3Car"/>
    <w:uiPriority w:val="9"/>
    <w:unhideWhenUsed/>
    <w:qFormat/>
    <w:pPr>
      <w:keepNext/>
      <w:keepLines/>
      <w:spacing w:after="14"/>
      <w:ind w:left="1082" w:hanging="10"/>
      <w:outlineLvl w:val="2"/>
    </w:pPr>
    <w:rPr>
      <w:rFonts w:ascii="Calibri" w:eastAsia="Calibri" w:hAnsi="Calibri" w:cs="Calibri"/>
      <w:color w:val="15147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color w:val="151478"/>
      <w:sz w:val="24"/>
    </w:rPr>
  </w:style>
  <w:style w:type="character" w:customStyle="1" w:styleId="Titre2Car">
    <w:name w:val="Titre 2 Car"/>
    <w:link w:val="Titre2"/>
    <w:rPr>
      <w:rFonts w:ascii="Calibri" w:eastAsia="Calibri" w:hAnsi="Calibri" w:cs="Calibri"/>
      <w:color w:val="453C6C"/>
      <w:sz w:val="32"/>
    </w:rPr>
  </w:style>
  <w:style w:type="character" w:customStyle="1" w:styleId="Titre1Car">
    <w:name w:val="Titre 1 Car"/>
    <w:link w:val="Titre1"/>
    <w:rPr>
      <w:rFonts w:ascii="Calibri" w:eastAsia="Calibri" w:hAnsi="Calibri" w:cs="Calibri"/>
      <w:b/>
      <w:color w:val="453C6C"/>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BC6B84"/>
    <w:rPr>
      <w:color w:val="0000FF"/>
      <w:u w:val="single"/>
    </w:rPr>
  </w:style>
  <w:style w:type="character" w:styleId="Lienhypertextesuivivisit">
    <w:name w:val="FollowedHyperlink"/>
    <w:basedOn w:val="Policepardfaut"/>
    <w:uiPriority w:val="99"/>
    <w:semiHidden/>
    <w:unhideWhenUsed/>
    <w:rsid w:val="00BC6B84"/>
    <w:rPr>
      <w:color w:val="954F72" w:themeColor="followedHyperlink"/>
      <w:u w:val="single"/>
    </w:rPr>
  </w:style>
  <w:style w:type="paragraph" w:styleId="Paragraphedeliste">
    <w:name w:val="List Paragraph"/>
    <w:basedOn w:val="Normal"/>
    <w:uiPriority w:val="34"/>
    <w:qFormat/>
    <w:rsid w:val="004D6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adev.com/nos-missions/combattre/depistage/le-bus-et-le-depistage-du-glaucome/" TargetMode="External"/><Relationship Id="rId13" Type="http://schemas.openxmlformats.org/officeDocument/2006/relationships/hyperlink" Target="http://www.unadev.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nadev.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adev.com/nos-missions/aider/financement-de-chiens-guid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adev.com/nos-missions/combattre/depistage/le-bus-et-le-depistage-du-glaucom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unadev.com/nos-missions/combattre/depistage/le-bus-et-le-depistage-du-glaucome/" TargetMode="External"/><Relationship Id="rId14" Type="http://schemas.openxmlformats.org/officeDocument/2006/relationships/hyperlink" Target="http://www.unadev.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2465</Words>
  <Characters>13560</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
    </vt:vector>
  </TitlesOfParts>
  <Company>Unadev</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ROUSSELIERE Fanny</dc:creator>
  <cp:keywords/>
  <cp:lastModifiedBy>ROUSSELIERE Fanny</cp:lastModifiedBy>
  <cp:revision>2</cp:revision>
  <dcterms:created xsi:type="dcterms:W3CDTF">2023-08-02T14:13:00Z</dcterms:created>
  <dcterms:modified xsi:type="dcterms:W3CDTF">2023-08-02T14:13:00Z</dcterms:modified>
</cp:coreProperties>
</file>